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97E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97E30" w:rsidRDefault="009538B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E3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7E30" w:rsidRDefault="009538BD">
            <w:pPr>
              <w:pStyle w:val="ConsPlusTitlePage0"/>
              <w:jc w:val="center"/>
            </w:pPr>
            <w:r>
              <w:rPr>
                <w:sz w:val="48"/>
              </w:rPr>
              <w:t>Приказ СФР от 29.12.2024 N 2713</w:t>
            </w:r>
            <w:r>
              <w:rPr>
                <w:sz w:val="48"/>
              </w:rPr>
              <w:br/>
              <w:t>(ред. от 13.03.2025)</w:t>
            </w:r>
            <w:r>
              <w:rPr>
                <w:sz w:val="48"/>
              </w:rPr>
              <w:br/>
              <w:t>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w:t>
            </w:r>
          </w:p>
        </w:tc>
      </w:tr>
      <w:tr w:rsidR="00597E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7E30" w:rsidRDefault="009538B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597E30" w:rsidRDefault="00597E30">
      <w:pPr>
        <w:pStyle w:val="ConsPlusNormal0"/>
        <w:sectPr w:rsidR="00597E3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97E30" w:rsidRDefault="00597E30">
      <w:pPr>
        <w:pStyle w:val="ConsPlusNormal0"/>
        <w:jc w:val="both"/>
        <w:outlineLvl w:val="0"/>
      </w:pPr>
    </w:p>
    <w:p w:rsidR="00597E30" w:rsidRDefault="009538BD">
      <w:pPr>
        <w:pStyle w:val="ConsPlusTitle0"/>
        <w:jc w:val="center"/>
        <w:outlineLvl w:val="0"/>
      </w:pPr>
      <w:r>
        <w:t>ФОНД ПЕНСИОННОГО И СОЦИАЛЬНОГО СТРАХОВАНИЯ</w:t>
      </w:r>
    </w:p>
    <w:p w:rsidR="00597E30" w:rsidRDefault="009538BD">
      <w:pPr>
        <w:pStyle w:val="ConsPlusTitle0"/>
        <w:jc w:val="center"/>
      </w:pPr>
      <w:r>
        <w:t>РОССИЙСКОЙ ФЕДЕРАЦИИ</w:t>
      </w:r>
    </w:p>
    <w:p w:rsidR="00597E30" w:rsidRDefault="00597E30">
      <w:pPr>
        <w:pStyle w:val="ConsPlusTitle0"/>
        <w:jc w:val="center"/>
      </w:pPr>
    </w:p>
    <w:p w:rsidR="00597E30" w:rsidRDefault="009538BD">
      <w:pPr>
        <w:pStyle w:val="ConsPlusTitle0"/>
        <w:jc w:val="center"/>
      </w:pPr>
      <w:r>
        <w:t>ПРИКАЗ</w:t>
      </w:r>
    </w:p>
    <w:p w:rsidR="00597E30" w:rsidRDefault="009538BD">
      <w:pPr>
        <w:pStyle w:val="ConsPlusTitle0"/>
        <w:jc w:val="center"/>
      </w:pPr>
      <w:r>
        <w:t>от 29 декабря 2024 г. N 2713</w:t>
      </w:r>
    </w:p>
    <w:p w:rsidR="00597E30" w:rsidRDefault="00597E30">
      <w:pPr>
        <w:pStyle w:val="ConsPlusTitle0"/>
        <w:jc w:val="center"/>
      </w:pPr>
    </w:p>
    <w:p w:rsidR="00597E30" w:rsidRDefault="009538BD">
      <w:pPr>
        <w:pStyle w:val="ConsPlusTitle0"/>
        <w:jc w:val="center"/>
      </w:pPr>
      <w:r>
        <w:t>ОБ УТВЕРЖДЕНИИ РЕШЕНИЯ</w:t>
      </w:r>
    </w:p>
    <w:p w:rsidR="00597E30" w:rsidRDefault="009538BD">
      <w:pPr>
        <w:pStyle w:val="ConsPlusTitle0"/>
        <w:jc w:val="center"/>
      </w:pPr>
      <w:r>
        <w:t>О ПОРЯДКЕ ПРЕДОСТАВЛЕНИЯ СУБСИДИИ НА ГОСУДАРСТВЕННУЮ</w:t>
      </w:r>
    </w:p>
    <w:p w:rsidR="00597E30" w:rsidRDefault="009538BD">
      <w:pPr>
        <w:pStyle w:val="ConsPlusTitle0"/>
        <w:jc w:val="center"/>
      </w:pPr>
      <w:r>
        <w:t>ПОДДЕРЖКУ ТРУДОУСТРОЙСТВА РАБОТНИКОВ ИЗ ДРУГОЙ МЕСТНОСТИ</w:t>
      </w:r>
    </w:p>
    <w:p w:rsidR="00597E30" w:rsidRDefault="009538BD">
      <w:pPr>
        <w:pStyle w:val="ConsPlusTitle0"/>
        <w:jc w:val="center"/>
      </w:pPr>
      <w:r>
        <w:t>ИЛИ ДРУГИХ ТЕРРИТОРИЙ</w:t>
      </w:r>
    </w:p>
    <w:p w:rsidR="00597E30" w:rsidRDefault="00597E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97E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E30" w:rsidRDefault="009538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E30" w:rsidRDefault="009538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СФР от 13.03.2025 N 287)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пунктом 3(2)</w:t>
        </w:r>
      </w:hyperlink>
      <w:r>
        <w:t xml:space="preserve">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</w:t>
      </w:r>
      <w:r>
        <w:t>ов в форме субсидий, юридическим лицам, индивидуальным предпринимателям, а также физическим лицам - производителям товаров, работ, услуг" приказываю: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5" w:tooltip="Решение">
        <w:r>
          <w:rPr>
            <w:color w:val="0000FF"/>
          </w:rPr>
          <w:t>Решение</w:t>
        </w:r>
      </w:hyperlink>
      <w:r>
        <w:t xml:space="preserve"> о порядке предоставления субсидии </w:t>
      </w:r>
      <w:r>
        <w:t>на государственную поддержку трудоустройства работников из другой местности или других территорий.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2025 года и действует до 1 января 2027 года.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right"/>
      </w:pPr>
      <w:r>
        <w:t>Председатель</w:t>
      </w:r>
    </w:p>
    <w:p w:rsidR="00597E30" w:rsidRDefault="009538BD">
      <w:pPr>
        <w:pStyle w:val="ConsPlusNormal0"/>
        <w:jc w:val="right"/>
      </w:pPr>
      <w:r>
        <w:t>С.ЧИРКОВ</w:t>
      </w: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right"/>
        <w:outlineLvl w:val="0"/>
      </w:pPr>
      <w:r>
        <w:t>Приложение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right"/>
      </w:pPr>
      <w:r>
        <w:t>Утверждено</w:t>
      </w:r>
    </w:p>
    <w:p w:rsidR="00597E30" w:rsidRDefault="009538BD">
      <w:pPr>
        <w:pStyle w:val="ConsPlusNormal0"/>
        <w:jc w:val="right"/>
      </w:pPr>
      <w:r>
        <w:t>приказом Фонда пенсионного</w:t>
      </w:r>
    </w:p>
    <w:p w:rsidR="00597E30" w:rsidRDefault="009538BD">
      <w:pPr>
        <w:pStyle w:val="ConsPlusNormal0"/>
        <w:jc w:val="right"/>
      </w:pPr>
      <w:r>
        <w:t>и социального страхования</w:t>
      </w:r>
    </w:p>
    <w:p w:rsidR="00597E30" w:rsidRDefault="009538BD">
      <w:pPr>
        <w:pStyle w:val="ConsPlusNormal0"/>
        <w:jc w:val="right"/>
      </w:pPr>
      <w:r>
        <w:t>Российской Федерации</w:t>
      </w:r>
    </w:p>
    <w:p w:rsidR="00597E30" w:rsidRDefault="009538BD">
      <w:pPr>
        <w:pStyle w:val="ConsPlusNormal0"/>
        <w:jc w:val="right"/>
      </w:pPr>
      <w:r>
        <w:t>от 29 декабря 2024 г. N 2713</w:t>
      </w:r>
    </w:p>
    <w:p w:rsidR="00597E30" w:rsidRDefault="00597E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97E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E30" w:rsidRDefault="009538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E30" w:rsidRDefault="009538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риказ СФР от 13.03.2025 N 287 &quot;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СФР от 13.03.2025 N 287)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E30" w:rsidRDefault="00597E30">
            <w:pPr>
              <w:pStyle w:val="ConsPlusNormal0"/>
            </w:pP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center"/>
      </w:pPr>
      <w:bookmarkStart w:id="1" w:name="P35"/>
      <w:bookmarkEnd w:id="1"/>
      <w:r>
        <w:t>Решение</w:t>
      </w:r>
    </w:p>
    <w:p w:rsidR="00597E30" w:rsidRDefault="009538BD">
      <w:pPr>
        <w:pStyle w:val="ConsPlusNormal0"/>
        <w:jc w:val="center"/>
      </w:pPr>
      <w:r>
        <w:t>о порядке предоставления субсидии на государственную</w:t>
      </w:r>
    </w:p>
    <w:p w:rsidR="00597E30" w:rsidRDefault="009538BD">
      <w:pPr>
        <w:pStyle w:val="ConsPlusNormal0"/>
        <w:jc w:val="center"/>
      </w:pPr>
      <w:r>
        <w:lastRenderedPageBreak/>
        <w:t>поддержку трудоустройства работников из другой местности</w:t>
      </w:r>
    </w:p>
    <w:p w:rsidR="00597E30" w:rsidRDefault="009538BD">
      <w:pPr>
        <w:pStyle w:val="ConsPlusNormal0"/>
        <w:jc w:val="center"/>
      </w:pPr>
      <w:r>
        <w:t>или других территорий</w:t>
      </w:r>
    </w:p>
    <w:p w:rsidR="00597E30" w:rsidRDefault="009538BD">
      <w:pPr>
        <w:pStyle w:val="ConsPlusNormal0"/>
        <w:jc w:val="center"/>
      </w:pPr>
      <w:r>
        <w:t>N _____ от "__" ________ 202_ г.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346"/>
        <w:gridCol w:w="1374"/>
        <w:gridCol w:w="1361"/>
      </w:tblGrid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0" w:rsidRDefault="009538BD">
            <w:pPr>
              <w:pStyle w:val="ConsPlusNormal0"/>
              <w:jc w:val="center"/>
            </w:pPr>
            <w:r>
              <w:t>КОДЫ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Главный распорядитель бюджетных средств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797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 xml:space="preserve">по </w:t>
            </w:r>
            <w:hyperlink r:id="rId1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00000006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Бюджет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597E30">
            <w:pPr>
              <w:pStyle w:val="ConsPlusNormal0"/>
            </w:pP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50590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 xml:space="preserve">Национальный </w:t>
            </w:r>
            <w:hyperlink r:id="rId13" w:tooltip="&quot;Паспорт национального проекта &quot;Кадры&quot; {КонсультантПлюс}">
              <w:r>
                <w:rPr>
                  <w:color w:val="0000FF"/>
                </w:rPr>
                <w:t>проект</w:t>
              </w:r>
            </w:hyperlink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"Кадры"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Л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 xml:space="preserve">Государственная </w:t>
            </w:r>
            <w:hyperlink r:id="rId14" w:tooltip="Постановление Правительства РФ от 15.04.2014 N 298 (ред. от 30.11.2024) &quot;Об утверждении государственной программы Российской Федерации &quot;Содействие занятости населения&quot; {КонсультантПлюс}">
              <w:r>
                <w:rPr>
                  <w:color w:val="0000FF"/>
                </w:rPr>
                <w:t>прогр</w:t>
              </w:r>
              <w:r>
                <w:rPr>
                  <w:color w:val="0000FF"/>
                </w:rPr>
                <w:t>амма</w:t>
              </w:r>
            </w:hyperlink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Содействие занятости населения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07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Структурный элемент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 xml:space="preserve">Федеральный </w:t>
            </w:r>
            <w:hyperlink r:id="rId15" w:tooltip="&quot;Паспорт федерального проекта &quot;Активные меры содействия занятости&quot; {КонсультантПлюс}">
              <w:r>
                <w:rPr>
                  <w:color w:val="0000FF"/>
                </w:rPr>
                <w:t>проект</w:t>
              </w:r>
            </w:hyperlink>
            <w:r>
              <w:t xml:space="preserve"> "Активные меры содействия занятости"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Л3</w:t>
            </w:r>
          </w:p>
        </w:tc>
      </w:tr>
      <w:tr w:rsidR="00597E30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Целевая статья р</w:t>
            </w:r>
            <w:r>
              <w:t>асходов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E30" w:rsidRDefault="009538BD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center"/>
            </w:pPr>
            <w:r>
              <w:t>07 2 Л3 50590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jc w:val="both"/>
        <w:outlineLvl w:val="1"/>
      </w:pPr>
      <w:r>
        <w:t>1. Общая информация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62"/>
        <w:gridCol w:w="5986"/>
      </w:tblGrid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</w:t>
            </w:r>
            <w:r>
              <w:t>и работников в 2025 году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Тип субсидии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Субсидии на оказание услуг (выполнение работ)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lastRenderedPageBreak/>
              <w:t>Способ предоставления средств из бюджета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Для служебного пользования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Нет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Направлено на реализацию новаций в с</w:t>
            </w:r>
            <w:r>
              <w:t>фере искусственного интеллекта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Нет</w:t>
            </w:r>
          </w:p>
        </w:tc>
      </w:tr>
      <w:tr w:rsidR="00597E30">
        <w:tc>
          <w:tcPr>
            <w:tcW w:w="2962" w:type="dxa"/>
          </w:tcPr>
          <w:p w:rsidR="00597E30" w:rsidRDefault="009538BD">
            <w:pPr>
              <w:pStyle w:val="ConsPlusNormal0"/>
            </w:pPr>
            <w:r>
              <w:t>Способ отбора</w:t>
            </w:r>
          </w:p>
        </w:tc>
        <w:tc>
          <w:tcPr>
            <w:tcW w:w="5986" w:type="dxa"/>
          </w:tcPr>
          <w:p w:rsidR="00597E30" w:rsidRDefault="009538BD">
            <w:pPr>
              <w:pStyle w:val="ConsPlusNormal0"/>
            </w:pPr>
            <w:r>
              <w:t>Запрос предложения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Используемые понятия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Понятия, используемые в настоящем Решении, означают следующее: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федеральную государственную информационную сист</w:t>
      </w:r>
      <w:r>
        <w:t>ему "Единая интегрированная информационная система "Соцстрах" Фонда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</w:t>
      </w:r>
      <w:r>
        <w:t>нове посредством внешних сервисов информационного взаимодействия;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"Единая цифровая платформа" - единая цифровая платформа в сфере занятости и трудовых отношений "Работа в России";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"Единые правила" - </w:t>
      </w:r>
      <w:hyperlink r:id="rId16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Правила</w:t>
        </w:r>
      </w:hyperlink>
      <w: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</w:t>
      </w:r>
      <w:r>
        <w:t>ческим лицам - производителям товаров, работ, услуг, утвержденные постановлением Правительства Российской Федерации от 25 октября 2023 г. N 1780;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"органы службы занятости" - исполнительные органы субъектов Российской Федерации, осуществляющие полномочия в </w:t>
      </w:r>
      <w:r>
        <w:t>сфере занятости населения, и государственные учреждения службы занятости;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опублико</w:t>
      </w:r>
      <w:r>
        <w:t>ванные на официальных сайтах соответствующих высших исполнительных органов субъектов Российской Федерации и направленные в Фонд;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"перечни приоритетных отраслей экономики" - перечни отраслей экономики, утверждаемые высшими исполнительными органами субъектов</w:t>
      </w:r>
      <w:r>
        <w:t xml:space="preserve"> Российской Федерации, опубликованные на официальных сайтах соответствующих высших исполнительных органов субъектов Российской Федерации и направленные в Фонд;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"перечни профессий" - перечень востребованных профессий (должностей, специальностей), утверждаем</w:t>
      </w:r>
      <w:r>
        <w:t xml:space="preserve">ые исполнительными органами субъектов Российской Федерации, осуществляющими </w:t>
      </w:r>
      <w:r>
        <w:lastRenderedPageBreak/>
        <w:t>полномочия в сфере занятости населения, опубликованные на официальных сайтах соответствующих высших исполнительных органов субъектов Российской Федерации и направленные в Фонд;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"по</w:t>
      </w:r>
      <w:r>
        <w:t>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</w:t>
      </w:r>
      <w:r>
        <w:t>угих территорий) и соответствующие требованиям, установленным настоящим Решением;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</w:t>
      </w:r>
      <w:r>
        <w:t>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</w:t>
      </w:r>
      <w:r>
        <w:t>тельства или по месту пребывания, до места осуществления трудовой деятельности не менее 50 километров;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</w:t>
      </w:r>
      <w:r>
        <w:t>фессиям (должностям, специальностям), указанным в перечне профессий (должностей, специальностей);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</w:t>
      </w:r>
      <w:r>
        <w:t>ованием федеральной государственной информационной системы "Единая интегрированная информационная система "Соцстрах" Фонда по форматам, определяемым Фондом, в течение 3 рабочих дней со дня трудоустройства граждан;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"субсидия" - субсидия в целях государствен</w:t>
      </w:r>
      <w:r>
        <w:t>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</w:t>
      </w:r>
      <w:r>
        <w:t xml:space="preserve">риторий) в рамках программы "Мобильность 2.0", федерального </w:t>
      </w:r>
      <w:hyperlink r:id="rId17" w:tooltip="&quot;Паспорт федерального проекта &quot;Активные меры содействия занятости&quot; {КонсультантПлюс}">
        <w:r>
          <w:rPr>
            <w:color w:val="0000FF"/>
          </w:rPr>
          <w:t>проекта</w:t>
        </w:r>
      </w:hyperlink>
      <w:r>
        <w:t xml:space="preserve"> </w:t>
      </w:r>
      <w:r>
        <w:t xml:space="preserve">"Активные меры содействия занятости" национального </w:t>
      </w:r>
      <w:hyperlink r:id="rId18" w:tooltip="&quot;Паспорт национального проекта &quot;Кадры&quot; {КонсультантПлюс}">
        <w:r>
          <w:rPr>
            <w:color w:val="0000FF"/>
          </w:rPr>
          <w:t>проекта</w:t>
        </w:r>
      </w:hyperlink>
      <w:r>
        <w:t xml:space="preserve"> "Кадры";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"Фонд" - Фонд пенсионного и </w:t>
      </w:r>
      <w:r>
        <w:t>социального страхования Российской Федерации.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2. Информация о получателях субсидии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Категории получателей субсидии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5"/>
        <w:gridCol w:w="4819"/>
      </w:tblGrid>
      <w:tr w:rsidR="00597E30">
        <w:tc>
          <w:tcPr>
            <w:tcW w:w="4205" w:type="dxa"/>
          </w:tcPr>
          <w:p w:rsidR="00597E30" w:rsidRDefault="009538BD">
            <w:pPr>
              <w:pStyle w:val="ConsPlusNormal0"/>
              <w:jc w:val="center"/>
            </w:pPr>
            <w:r>
              <w:t>Категории</w:t>
            </w:r>
          </w:p>
        </w:tc>
        <w:tc>
          <w:tcPr>
            <w:tcW w:w="4819" w:type="dxa"/>
          </w:tcPr>
          <w:p w:rsidR="00597E30" w:rsidRDefault="009538BD">
            <w:pPr>
              <w:pStyle w:val="ConsPlusNormal0"/>
              <w:jc w:val="center"/>
            </w:pPr>
            <w:r>
              <w:t>Тип субъекта экономической деятельности</w:t>
            </w:r>
          </w:p>
        </w:tc>
      </w:tr>
      <w:tr w:rsidR="00597E30">
        <w:tc>
          <w:tcPr>
            <w:tcW w:w="4205" w:type="dxa"/>
          </w:tcPr>
          <w:p w:rsidR="00597E30" w:rsidRDefault="009538BD">
            <w:pPr>
              <w:pStyle w:val="ConsPlusNormal0"/>
            </w:pPr>
            <w:r>
              <w:t>Некоммерческие организации</w:t>
            </w:r>
          </w:p>
        </w:tc>
        <w:tc>
          <w:tcPr>
            <w:tcW w:w="4819" w:type="dxa"/>
          </w:tcPr>
          <w:p w:rsidR="00597E30" w:rsidRDefault="009538BD">
            <w:pPr>
              <w:pStyle w:val="ConsPlusNormal0"/>
            </w:pPr>
            <w:r>
              <w:t>Юридическое лицо</w:t>
            </w:r>
          </w:p>
        </w:tc>
      </w:tr>
      <w:tr w:rsidR="00597E30">
        <w:tc>
          <w:tcPr>
            <w:tcW w:w="4205" w:type="dxa"/>
          </w:tcPr>
          <w:p w:rsidR="00597E30" w:rsidRDefault="009538BD">
            <w:pPr>
              <w:pStyle w:val="ConsPlusNormal0"/>
            </w:pPr>
            <w:r>
              <w:t>Коммерческие организации</w:t>
            </w:r>
          </w:p>
        </w:tc>
        <w:tc>
          <w:tcPr>
            <w:tcW w:w="4819" w:type="dxa"/>
          </w:tcPr>
          <w:p w:rsidR="00597E30" w:rsidRDefault="009538BD">
            <w:pPr>
              <w:pStyle w:val="ConsPlusNormal0"/>
            </w:pPr>
            <w:r>
              <w:t>Юридическое лицо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Требования к получателям субсидии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0"/>
        <w:gridCol w:w="3118"/>
      </w:tblGrid>
      <w:tr w:rsidR="00597E3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:rsidR="00597E30" w:rsidRDefault="009538BD">
            <w:pPr>
              <w:pStyle w:val="ConsPlusNormal0"/>
              <w:jc w:val="center"/>
            </w:pPr>
            <w:r>
              <w:lastRenderedPageBreak/>
              <w:t>Наименование требования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97E30" w:rsidRDefault="009538BD">
            <w:pPr>
              <w:pStyle w:val="ConsPlusNormal0"/>
              <w:jc w:val="center"/>
            </w:pPr>
            <w:r>
              <w:t>Подтверждающий соответствие требованию документ</w:t>
            </w:r>
          </w:p>
        </w:tc>
      </w:tr>
      <w:tr w:rsidR="00597E3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single" w:sz="4" w:space="0" w:color="auto"/>
              <w:bottom w:val="nil"/>
            </w:tcBorders>
            <w:vAlign w:val="bottom"/>
          </w:tcPr>
          <w:p w:rsidR="00597E30" w:rsidRDefault="009538BD">
            <w:pPr>
              <w:pStyle w:val="ConsPlusNormal0"/>
              <w:jc w:val="both"/>
            </w:pPr>
            <w:r>
              <w:t>Организации включены в Перечни организаций с учетом соответствия следующим требованиям: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19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      </w:r>
            <w:r>
              <w:t>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597E30" w:rsidRDefault="009538BD">
            <w:pPr>
              <w:pStyle w:val="ConsPlusNormal0"/>
              <w:jc w:val="both"/>
            </w:pPr>
            <w:r>
              <w:t>При расчете доли участия офшорных компаний в капитале российских юридических лиц не учитывается п</w:t>
            </w:r>
            <w:r>
              <w:t xml:space="preserve">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</w:t>
            </w:r>
            <w:r>
              <w:t>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597E30" w:rsidRDefault="009538BD">
            <w:pPr>
              <w:pStyle w:val="ConsPlusNormal0"/>
              <w:jc w:val="both"/>
            </w:pPr>
            <w:r>
              <w:t>б) получатель субсидии не находится в перечне организаций и физических лиц, в отношении которых имеются сведения об их пр</w:t>
            </w:r>
            <w:r>
              <w:t>ичастности к экстремистской деятельности или терроризму;</w:t>
            </w:r>
          </w:p>
          <w:p w:rsidR="00597E30" w:rsidRDefault="009538BD">
            <w:pPr>
              <w:pStyle w:val="ConsPlusNormal0"/>
              <w:jc w:val="both"/>
            </w:pPr>
            <w:r>
              <w:t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</w:t>
            </w:r>
            <w:r>
              <w:t>оссийской Федерации, муниципальных правовых актов), решений о порядке предоставления субсидии на цели, установленные настоящим Решением;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г) получатель субсидии не является иностранным агентом в соответствии с Федеральным </w:t>
            </w:r>
            <w:hyperlink r:id="rId2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14 ию</w:t>
            </w:r>
            <w:r>
              <w:t>ля 2022 г. N 255-ФЗ "О контроле за деятельностью лиц, находящихся под иностранным влиянием";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597E30" w:rsidRDefault="009538BD">
            <w:pPr>
              <w:pStyle w:val="ConsPlusNormal0"/>
            </w:pPr>
            <w:r>
              <w:t>Перечень организаций, утвержденный высшими исполнительными органами субъектов Российской Федерации,</w:t>
            </w:r>
          </w:p>
          <w:p w:rsidR="00597E30" w:rsidRDefault="009538BD">
            <w:pPr>
              <w:pStyle w:val="ConsPlusNormal0"/>
            </w:pPr>
            <w:r>
              <w:t>Сведения о работодателях, трудоустроивших граждан, а также о тр</w:t>
            </w:r>
            <w:r>
              <w:t>удоустроенных гражданах,</w:t>
            </w:r>
          </w:p>
          <w:p w:rsidR="00597E30" w:rsidRDefault="009538BD">
            <w:pPr>
              <w:pStyle w:val="ConsPlusNormal0"/>
            </w:pPr>
            <w:r>
              <w:t>Заявление</w:t>
            </w:r>
          </w:p>
        </w:tc>
      </w:tr>
      <w:tr w:rsidR="00597E3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nil"/>
            </w:tcBorders>
            <w:vAlign w:val="bottom"/>
          </w:tcPr>
          <w:p w:rsidR="00597E30" w:rsidRDefault="009538BD">
            <w:pPr>
              <w:pStyle w:val="ConsPlusNormal0"/>
              <w:jc w:val="both"/>
            </w:pPr>
            <w:r>
              <w:t xml:space="preserve">д) получатель субсидии не находится в составляемых в </w:t>
            </w:r>
            <w:r>
              <w:lastRenderedPageBreak/>
              <w:t>рамках реализации полномочий, предусмотренных главой VII</w:t>
            </w:r>
            <w: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      </w:r>
            <w:r>
              <w:t>ия;</w:t>
            </w:r>
          </w:p>
          <w:p w:rsidR="00597E30" w:rsidRDefault="009538BD">
            <w:pPr>
              <w:pStyle w:val="ConsPlusNormal0"/>
              <w:jc w:val="both"/>
            </w:pPr>
            <w: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</w:t>
            </w:r>
            <w:r>
              <w:t>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</w:t>
            </w:r>
            <w:r>
              <w:t>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:rsidR="00597E30" w:rsidRDefault="009538BD">
            <w:pPr>
              <w:pStyle w:val="ConsPlusNormal0"/>
              <w:jc w:val="both"/>
            </w:pPr>
            <w:r>
              <w:t>ж) получатель субсидии не является лицом, нарушившим условие о внедрении современных технологий, включая решения на базе ис</w:t>
            </w:r>
            <w:r>
              <w:t>кусственного интеллекта.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97E30" w:rsidRDefault="00597E30">
            <w:pPr>
              <w:pStyle w:val="ConsPlusNormal0"/>
            </w:pPr>
          </w:p>
        </w:tc>
      </w:tr>
      <w:tr w:rsidR="00597E3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lastRenderedPageBreak/>
              <w:t>Соответствовать следующим критериям:</w:t>
            </w:r>
          </w:p>
          <w:p w:rsidR="00597E30" w:rsidRDefault="009538BD">
            <w:pPr>
              <w:pStyle w:val="ConsPlusNormal0"/>
              <w:jc w:val="both"/>
            </w:pPr>
            <w:r>
              <w:t>1) организации относятся к одной или нескольким из следующих категорий: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</w:t>
            </w:r>
            <w:hyperlink r:id="rId21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20 февраля 2004 г. N 96 "О сводном реестре организац</w:t>
            </w:r>
            <w:r>
              <w:t>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:rsidR="00597E30" w:rsidRDefault="009538BD">
            <w:pPr>
              <w:pStyle w:val="ConsPlusNormal0"/>
              <w:jc w:val="both"/>
            </w:pPr>
            <w:r>
              <w:t>1.2) организации, зарегистрированные на территориях Донецкой Народной Республики, Луганской Народной Республики, Запорожской об</w:t>
            </w:r>
            <w:r>
              <w:t xml:space="preserve">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</w:t>
            </w:r>
            <w:r>
              <w:lastRenderedPageBreak/>
              <w:t>перед ра</w:t>
            </w:r>
            <w:r>
              <w:t>ботниками по заработной плате;</w:t>
            </w:r>
          </w:p>
          <w:p w:rsidR="00597E30" w:rsidRDefault="009538BD">
            <w:pPr>
              <w:pStyle w:val="ConsPlusNormal0"/>
              <w:jc w:val="both"/>
            </w:pPr>
            <w: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:rsidR="00597E30" w:rsidRDefault="009538BD">
            <w:pPr>
              <w:pStyle w:val="ConsPlusNormal0"/>
              <w:jc w:val="both"/>
            </w:pPr>
            <w:r>
              <w:t>- среднемеся</w:t>
            </w:r>
            <w:r>
              <w:t xml:space="preserve">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представления которых </w:t>
            </w:r>
            <w:r>
              <w:t>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97E30" w:rsidRDefault="00597E30">
            <w:pPr>
              <w:pStyle w:val="ConsPlusNormal0"/>
            </w:pPr>
          </w:p>
        </w:tc>
      </w:tr>
      <w:tr w:rsidR="00597E30">
        <w:tblPrEx>
          <w:tblBorders>
            <w:insideH w:val="none" w:sz="0" w:space="0" w:color="auto"/>
          </w:tblBorders>
        </w:tblPrEx>
        <w:tc>
          <w:tcPr>
            <w:tcW w:w="5880" w:type="dxa"/>
            <w:tcBorders>
              <w:top w:val="nil"/>
              <w:bottom w:val="single" w:sz="4" w:space="0" w:color="auto"/>
            </w:tcBorders>
          </w:tcPr>
          <w:p w:rsidR="00597E30" w:rsidRDefault="009538BD">
            <w:pPr>
              <w:pStyle w:val="ConsPlusNormal0"/>
              <w:jc w:val="both"/>
            </w:pPr>
            <w:r>
              <w:lastRenderedPageBreak/>
              <w:t>- реализуют кр</w:t>
            </w:r>
            <w:r>
              <w:t>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млрд рублей, объем производства продукции (выполнения работ, оказания усл</w:t>
            </w:r>
            <w:r>
              <w:t>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Российской Федерации) и для его реализации дополнительно привлекает не</w:t>
            </w:r>
            <w:r>
              <w:t xml:space="preserve"> менее 100 работников;</w:t>
            </w:r>
          </w:p>
          <w:p w:rsidR="00597E30" w:rsidRDefault="009538BD">
            <w:pPr>
              <w:pStyle w:val="ConsPlusNormal0"/>
              <w:jc w:val="both"/>
            </w:pPr>
            <w:r>
              <w:t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</w:t>
            </w:r>
            <w:r>
              <w:t>риториях Донецкой Народной Республики, Луганской Народной Республики, Запорожской области и Херсонской области);</w:t>
            </w:r>
          </w:p>
          <w:p w:rsidR="00597E30" w:rsidRDefault="009538BD">
            <w:pPr>
              <w:pStyle w:val="ConsPlusNormal0"/>
              <w:jc w:val="both"/>
            </w:pPr>
            <w:r>
              <w:t>3) организация не находится в процессе реорганизации (за исключением реорганизации в форме присоединения организации к другому юридическому лиц</w:t>
            </w:r>
            <w:r>
              <w:t xml:space="preserve">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</w:t>
            </w:r>
            <w:r>
              <w:lastRenderedPageBreak/>
              <w:t>законодательство</w:t>
            </w:r>
            <w:r>
              <w:t>м Российской Федерации;</w:t>
            </w:r>
          </w:p>
          <w:p w:rsidR="00597E30" w:rsidRDefault="009538BD">
            <w:pPr>
              <w:pStyle w:val="ConsPlusNormal0"/>
              <w:jc w:val="both"/>
            </w:pPr>
            <w:r>
              <w:t>4) организация не участвует в региональной программе повышения мобильности трудовых ресурсов, софинансируемой за счет средств федерального бюджета, и не является получателем иных мер поддержки за счет ассигнований из федерального бю</w:t>
            </w:r>
            <w:r>
              <w:t>джета;</w:t>
            </w:r>
          </w:p>
          <w:p w:rsidR="00597E30" w:rsidRDefault="009538BD">
            <w:pPr>
              <w:pStyle w:val="ConsPlusNormal0"/>
              <w:jc w:val="both"/>
            </w:pPr>
            <w:r>
              <w:t xml:space="preserve"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</w:t>
            </w:r>
            <w:r>
              <w:t>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      </w:r>
            <w:r>
              <w:t>аций (офшорные зоны)."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597E30" w:rsidRDefault="00597E30">
            <w:pPr>
              <w:pStyle w:val="ConsPlusNormal0"/>
            </w:pPr>
          </w:p>
        </w:tc>
      </w:tr>
      <w:tr w:rsidR="00597E3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7E30" w:rsidRDefault="009538BD">
            <w:pPr>
              <w:pStyle w:val="ConsPlusNormal0"/>
              <w:jc w:val="both"/>
            </w:pPr>
            <w:r>
              <w:lastRenderedPageBreak/>
              <w:t>Профессии, на которые трудоустраивают граждан, соответствуют следующим критериям:</w:t>
            </w:r>
          </w:p>
          <w:p w:rsidR="00597E30" w:rsidRDefault="009538BD">
            <w:pPr>
              <w:pStyle w:val="ConsPlusNormal0"/>
              <w:jc w:val="both"/>
            </w:pPr>
            <w: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597E30" w:rsidRDefault="009538BD">
            <w:pPr>
              <w:pStyle w:val="ConsPlusNormal0"/>
              <w:jc w:val="both"/>
            </w:pPr>
            <w: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</w:t>
            </w:r>
            <w:r>
              <w:t>рофессию (должность, специальность);</w:t>
            </w:r>
          </w:p>
          <w:p w:rsidR="00597E30" w:rsidRDefault="009538BD">
            <w:pPr>
              <w:pStyle w:val="ConsPlusNormal0"/>
              <w:jc w:val="both"/>
            </w:pPr>
            <w:r>
              <w:t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</w:t>
            </w:r>
            <w:r>
              <w:t>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      </w:r>
          </w:p>
          <w:p w:rsidR="00597E30" w:rsidRDefault="009538BD">
            <w:pPr>
              <w:pStyle w:val="ConsPlusNormal0"/>
              <w:jc w:val="both"/>
            </w:pPr>
            <w:r>
              <w:lastRenderedPageBreak/>
              <w:t>- работа, выполняемая в соответствии с проф</w:t>
            </w:r>
            <w:r>
              <w:t>ессией (должностью, специальностью), не должна осуществляться в пути или иметь разъездной характер.</w:t>
            </w:r>
          </w:p>
          <w:p w:rsidR="00597E30" w:rsidRDefault="009538BD">
            <w:pPr>
              <w:pStyle w:val="ConsPlusNormal0"/>
              <w:jc w:val="both"/>
            </w:pPr>
            <w: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</w:t>
            </w:r>
            <w:r>
              <w:t>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97E30" w:rsidRDefault="009538BD">
            <w:pPr>
              <w:pStyle w:val="ConsPlusNormal0"/>
            </w:pPr>
            <w:r>
              <w:lastRenderedPageBreak/>
              <w:t>Переч</w:t>
            </w:r>
            <w:r>
              <w:t>ень профессий, утвержденный исполнительными органами субъектов Российской Федерации, осуществляющими полномочия в сфере занятости населения,</w:t>
            </w:r>
          </w:p>
          <w:p w:rsidR="00597E30" w:rsidRDefault="009538BD">
            <w:pPr>
              <w:pStyle w:val="ConsPlusNormal0"/>
            </w:pPr>
            <w:r>
              <w:t>Сведения о работодателях, трудоустроивших граждан, а также о трудоустроенных гражданах,</w:t>
            </w:r>
          </w:p>
          <w:p w:rsidR="00597E30" w:rsidRDefault="009538BD">
            <w:pPr>
              <w:pStyle w:val="ConsPlusNormal0"/>
            </w:pPr>
            <w:r>
              <w:t>Заявление</w:t>
            </w:r>
          </w:p>
        </w:tc>
      </w:tr>
      <w:tr w:rsidR="00597E30"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:rsidR="00597E30" w:rsidRDefault="009538BD">
            <w:pPr>
              <w:pStyle w:val="ConsPlusNormal0"/>
              <w:jc w:val="both"/>
            </w:pPr>
            <w:r>
              <w:lastRenderedPageBreak/>
              <w:t>Организатор отбора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E30" w:rsidRDefault="009538BD">
            <w:pPr>
              <w:pStyle w:val="ConsPlusNormal0"/>
            </w:pPr>
            <w: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3. Результат предоставления субсидии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Перечень результатов</w:t>
      </w: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sectPr w:rsidR="00597E30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0"/>
        <w:gridCol w:w="1363"/>
        <w:gridCol w:w="4022"/>
        <w:gridCol w:w="1133"/>
        <w:gridCol w:w="742"/>
        <w:gridCol w:w="850"/>
        <w:gridCol w:w="1125"/>
        <w:gridCol w:w="1335"/>
        <w:gridCol w:w="1490"/>
      </w:tblGrid>
      <w:tr w:rsidR="00597E30">
        <w:tc>
          <w:tcPr>
            <w:tcW w:w="1500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lastRenderedPageBreak/>
              <w:t>Код результата</w:t>
            </w:r>
          </w:p>
        </w:tc>
        <w:tc>
          <w:tcPr>
            <w:tcW w:w="1363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t>Тип результата</w:t>
            </w:r>
          </w:p>
        </w:tc>
        <w:tc>
          <w:tcPr>
            <w:tcW w:w="4022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875" w:type="dxa"/>
            <w:gridSpan w:val="2"/>
          </w:tcPr>
          <w:p w:rsidR="00597E30" w:rsidRDefault="009538BD">
            <w:pPr>
              <w:pStyle w:val="ConsPlusNormal0"/>
              <w:jc w:val="center"/>
            </w:pPr>
            <w:r>
              <w:t xml:space="preserve">Единица измерения 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50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t>Детализация по получателям</w:t>
            </w:r>
          </w:p>
        </w:tc>
        <w:tc>
          <w:tcPr>
            <w:tcW w:w="1125" w:type="dxa"/>
            <w:vMerge w:val="restart"/>
          </w:tcPr>
          <w:p w:rsidR="00597E30" w:rsidRDefault="009538BD">
            <w:pPr>
              <w:pStyle w:val="ConsPlusNormal0"/>
              <w:jc w:val="center"/>
            </w:pPr>
            <w:r>
              <w:t>Значение в виде нарастающего итога</w:t>
            </w:r>
          </w:p>
        </w:tc>
        <w:tc>
          <w:tcPr>
            <w:tcW w:w="2825" w:type="dxa"/>
            <w:gridSpan w:val="2"/>
          </w:tcPr>
          <w:p w:rsidR="00597E30" w:rsidRDefault="009538BD">
            <w:pPr>
              <w:pStyle w:val="ConsPlusNormal0"/>
              <w:jc w:val="center"/>
            </w:pPr>
            <w:r>
              <w:t>Конечный результат</w:t>
            </w:r>
          </w:p>
        </w:tc>
      </w:tr>
      <w:tr w:rsidR="00597E30">
        <w:tc>
          <w:tcPr>
            <w:tcW w:w="1500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1363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4022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1133" w:type="dxa"/>
          </w:tcPr>
          <w:p w:rsidR="00597E30" w:rsidRDefault="009538BD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42" w:type="dxa"/>
          </w:tcPr>
          <w:p w:rsidR="00597E30" w:rsidRDefault="009538BD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50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1125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1335" w:type="dxa"/>
          </w:tcPr>
          <w:p w:rsidR="00597E30" w:rsidRDefault="009538BD">
            <w:pPr>
              <w:pStyle w:val="ConsPlusNormal0"/>
              <w:jc w:val="center"/>
            </w:pPr>
            <w:r>
              <w:t>Срок (дд.мм.гггг)</w:t>
            </w:r>
          </w:p>
        </w:tc>
        <w:tc>
          <w:tcPr>
            <w:tcW w:w="1490" w:type="dxa"/>
          </w:tcPr>
          <w:p w:rsidR="00597E30" w:rsidRDefault="009538BD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597E30">
        <w:tc>
          <w:tcPr>
            <w:tcW w:w="13560" w:type="dxa"/>
            <w:gridSpan w:val="9"/>
          </w:tcPr>
          <w:p w:rsidR="00597E30" w:rsidRDefault="009538BD">
            <w:pPr>
              <w:pStyle w:val="ConsPlusNormal0"/>
              <w:ind w:firstLine="283"/>
              <w:jc w:val="both"/>
            </w:pPr>
            <w:r>
              <w:t>Целевая статья: 07 2 Л3 50590</w:t>
            </w:r>
          </w:p>
        </w:tc>
      </w:tr>
      <w:tr w:rsidR="00597E30">
        <w:tc>
          <w:tcPr>
            <w:tcW w:w="1500" w:type="dxa"/>
          </w:tcPr>
          <w:p w:rsidR="00597E30" w:rsidRDefault="009538BD">
            <w:pPr>
              <w:pStyle w:val="ConsPlusNormal0"/>
            </w:pPr>
            <w:r>
              <w:t>X211240000</w:t>
            </w:r>
          </w:p>
        </w:tc>
        <w:tc>
          <w:tcPr>
            <w:tcW w:w="1363" w:type="dxa"/>
          </w:tcPr>
          <w:p w:rsidR="00597E30" w:rsidRDefault="009538BD">
            <w:pPr>
              <w:pStyle w:val="ConsPlusNormal0"/>
            </w:pPr>
            <w:r>
              <w:t>Обеспечено привлечение квалифицированных кадров</w:t>
            </w:r>
          </w:p>
        </w:tc>
        <w:tc>
          <w:tcPr>
            <w:tcW w:w="4022" w:type="dxa"/>
          </w:tcPr>
          <w:p w:rsidR="00597E30" w:rsidRDefault="009538BD">
            <w:pPr>
              <w:pStyle w:val="ConsPlusNormal0"/>
            </w:pPr>
            <w: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1133" w:type="dxa"/>
          </w:tcPr>
          <w:p w:rsidR="00597E30" w:rsidRDefault="009538BD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742" w:type="dxa"/>
          </w:tcPr>
          <w:p w:rsidR="00597E30" w:rsidRDefault="009538BD">
            <w:pPr>
              <w:pStyle w:val="ConsPlusNormal0"/>
              <w:jc w:val="center"/>
            </w:pP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792</w:t>
              </w:r>
            </w:hyperlink>
          </w:p>
        </w:tc>
        <w:tc>
          <w:tcPr>
            <w:tcW w:w="850" w:type="dxa"/>
          </w:tcPr>
          <w:p w:rsidR="00597E30" w:rsidRDefault="009538B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25" w:type="dxa"/>
          </w:tcPr>
          <w:p w:rsidR="00597E30" w:rsidRDefault="009538B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335" w:type="dxa"/>
          </w:tcPr>
          <w:p w:rsidR="00597E30" w:rsidRDefault="009538BD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90" w:type="dxa"/>
          </w:tcPr>
          <w:p w:rsidR="00597E30" w:rsidRDefault="009538BD">
            <w:pPr>
              <w:pStyle w:val="ConsPlusNormal0"/>
              <w:jc w:val="center"/>
            </w:pPr>
            <w:r>
              <w:t>1 298,0000</w:t>
            </w:r>
          </w:p>
        </w:tc>
      </w:tr>
    </w:tbl>
    <w:p w:rsidR="00597E30" w:rsidRDefault="00597E30">
      <w:pPr>
        <w:pStyle w:val="ConsPlusNormal0"/>
        <w:sectPr w:rsidR="00597E30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Дополнительная информация о результате предоставления субсидии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Результатом предоставления субсидии является: численность трудоустроенных</w:t>
      </w:r>
      <w:r>
        <w:t xml:space="preserve"> граждан в 2026 году - 1079 человек, в 2027 году и последующий период 2028 - 2030 гг. - 1868 человек ежегодно.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Значение результата указано в количестве ежегодно трудоустроенных человек. Стимулирование работодателей к приему на работу граждан в целях обеспе</w:t>
      </w:r>
      <w:r>
        <w:t>чения привлечения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Высшими исполнительными органами власти субъекта Российской Федерации утверждаются Перечни орга</w:t>
      </w:r>
      <w:r>
        <w:t>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4. Направления финансирования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:rsidR="00597E30" w:rsidRDefault="00597E3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5"/>
        <w:gridCol w:w="2185"/>
        <w:gridCol w:w="2289"/>
      </w:tblGrid>
      <w:tr w:rsidR="00597E30">
        <w:tc>
          <w:tcPr>
            <w:tcW w:w="4565" w:type="dxa"/>
          </w:tcPr>
          <w:p w:rsidR="00597E30" w:rsidRDefault="009538BD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185" w:type="dxa"/>
          </w:tcPr>
          <w:p w:rsidR="00597E30" w:rsidRDefault="009538BD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289" w:type="dxa"/>
          </w:tcPr>
          <w:p w:rsidR="00597E30" w:rsidRDefault="009538BD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597E30">
        <w:tc>
          <w:tcPr>
            <w:tcW w:w="4565" w:type="dxa"/>
            <w:tcBorders>
              <w:bottom w:val="nil"/>
            </w:tcBorders>
          </w:tcPr>
          <w:p w:rsidR="00597E30" w:rsidRDefault="009538BD">
            <w:pPr>
              <w:pStyle w:val="ConsPlusNormal0"/>
            </w:pPr>
            <w:r>
              <w:t>Затраты на:</w:t>
            </w:r>
          </w:p>
          <w:p w:rsidR="00597E30" w:rsidRDefault="009538BD">
            <w:pPr>
              <w:pStyle w:val="ConsPlusNormal0"/>
            </w:pPr>
            <w:r>
              <w:t>оплату труда работников из числа трудоустроенных граждан Российской Федерации, п</w:t>
            </w:r>
            <w:r>
              <w:t>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</w:t>
            </w:r>
            <w:r>
              <w:t xml:space="preserve">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</w:t>
            </w:r>
            <w:r>
              <w:t>твления трудовой деятельности не менее 50 километров (частично);</w:t>
            </w:r>
          </w:p>
        </w:tc>
        <w:tc>
          <w:tcPr>
            <w:tcW w:w="2185" w:type="dxa"/>
            <w:vMerge w:val="restart"/>
          </w:tcPr>
          <w:p w:rsidR="00597E30" w:rsidRDefault="009538BD">
            <w:pPr>
              <w:pStyle w:val="ConsPlusNormal0"/>
            </w:pPr>
            <w:r>
              <w:t>Заявление</w:t>
            </w:r>
          </w:p>
        </w:tc>
        <w:tc>
          <w:tcPr>
            <w:tcW w:w="2289" w:type="dxa"/>
            <w:vMerge w:val="restart"/>
          </w:tcPr>
          <w:p w:rsidR="00597E30" w:rsidRDefault="009538BD">
            <w:pPr>
              <w:pStyle w:val="ConsPlusNormal0"/>
            </w:pPr>
            <w:r>
              <w:t>По истечении 3-го, 6-го, 9-го и 12-го месяцев работы трудоустроенного гражданина</w:t>
            </w:r>
          </w:p>
        </w:tc>
      </w:tr>
      <w:tr w:rsidR="00597E30">
        <w:tblPrEx>
          <w:tblBorders>
            <w:insideH w:val="nil"/>
          </w:tblBorders>
        </w:tblPrEx>
        <w:tc>
          <w:tcPr>
            <w:tcW w:w="4565" w:type="dxa"/>
            <w:tcBorders>
              <w:top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lastRenderedPageBreak/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185" w:type="dxa"/>
            <w:vMerge/>
          </w:tcPr>
          <w:p w:rsidR="00597E30" w:rsidRDefault="00597E30">
            <w:pPr>
              <w:pStyle w:val="ConsPlusNormal0"/>
            </w:pPr>
          </w:p>
        </w:tc>
        <w:tc>
          <w:tcPr>
            <w:tcW w:w="2289" w:type="dxa"/>
            <w:vMerge/>
          </w:tcPr>
          <w:p w:rsidR="00597E30" w:rsidRDefault="00597E30">
            <w:pPr>
              <w:pStyle w:val="ConsPlusNormal0"/>
            </w:pP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5. Финансовое обеспечение и условия заключения соглашения о предоставлении субсидии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6"/>
        <w:gridCol w:w="5953"/>
      </w:tblGrid>
      <w:tr w:rsidR="00597E30">
        <w:tc>
          <w:tcPr>
            <w:tcW w:w="3086" w:type="dxa"/>
          </w:tcPr>
          <w:p w:rsidR="00597E30" w:rsidRDefault="009538BD">
            <w:pPr>
              <w:pStyle w:val="ConsPlusNormal0"/>
              <w:jc w:val="center"/>
            </w:pPr>
            <w:r>
              <w:t>КБК</w:t>
            </w:r>
          </w:p>
        </w:tc>
        <w:tc>
          <w:tcPr>
            <w:tcW w:w="5953" w:type="dxa"/>
          </w:tcPr>
          <w:p w:rsidR="00597E30" w:rsidRDefault="009538BD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597E30">
        <w:tc>
          <w:tcPr>
            <w:tcW w:w="3086" w:type="dxa"/>
          </w:tcPr>
          <w:p w:rsidR="00597E30" w:rsidRDefault="009538BD">
            <w:pPr>
              <w:pStyle w:val="ConsPlusNormal0"/>
            </w:pPr>
            <w:r>
              <w:t>797 10 06 07 2 Л3 50590 631</w:t>
            </w:r>
          </w:p>
        </w:tc>
        <w:tc>
          <w:tcPr>
            <w:tcW w:w="5953" w:type="dxa"/>
          </w:tcPr>
          <w:p w:rsidR="00597E30" w:rsidRDefault="009538BD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597E30">
        <w:tc>
          <w:tcPr>
            <w:tcW w:w="3086" w:type="dxa"/>
          </w:tcPr>
          <w:p w:rsidR="00597E30" w:rsidRDefault="009538BD">
            <w:pPr>
              <w:pStyle w:val="ConsPlusNormal0"/>
            </w:pPr>
            <w:r>
              <w:t>797 10 06 07 2 Л3 50590 811</w:t>
            </w:r>
          </w:p>
        </w:tc>
        <w:tc>
          <w:tcPr>
            <w:tcW w:w="5953" w:type="dxa"/>
          </w:tcPr>
          <w:p w:rsidR="00597E30" w:rsidRDefault="009538BD">
            <w:pPr>
              <w:pStyle w:val="ConsPlusNormal0"/>
              <w:jc w:val="both"/>
            </w:pPr>
            <w:r>
              <w:t>Государственная поддержка трудоустро</w:t>
            </w:r>
            <w:r>
              <w:t>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597E30" w:rsidRDefault="00597E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391"/>
      </w:tblGrid>
      <w:tr w:rsidR="00597E3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7432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597E3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2"/>
      </w:pPr>
      <w:r>
        <w:t>Требования к отчетности о предоставлении субсидии, мониторинг достижения результатов предоставления субсидии</w:t>
      </w:r>
    </w:p>
    <w:p w:rsidR="00597E30" w:rsidRDefault="00597E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391"/>
      </w:tblGrid>
      <w:tr w:rsidR="00597E3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Не требуется отчетности о предоставлении субсидии</w:t>
            </w:r>
          </w:p>
        </w:tc>
      </w:tr>
      <w:tr w:rsidR="00597E3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7432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97E30" w:rsidRDefault="009538BD">
            <w:pPr>
              <w:pStyle w:val="ConsPlusNormal0"/>
              <w:jc w:val="both"/>
            </w:pPr>
            <w:r>
              <w:t>Предусматривается проведение мониторинга достижения результатов (занятость 100 процентов тр</w:t>
            </w:r>
            <w:r>
              <w:t>удоустроенных граждан по истечении 3-го, и (или) 6-го, и (или) 9-го, и (или) 12-го месяцев работы от численности граждан, проработавших соответственно 3-й, и (или) 6-й, и (или) 9-й, и (или) 12-й месяцы с даты трудоустройства)</w:t>
            </w:r>
          </w:p>
        </w:tc>
      </w:tr>
    </w:tbl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6. Порядок расчета размера п</w:t>
      </w:r>
      <w:r>
        <w:t>редоставляемой субсидии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В соответствии с Федеральным </w:t>
      </w:r>
      <w:hyperlink r:id="rId34" w:tooltip="Федеральный закон от 30.11.2024 N 423-ФЗ &quot;О бюджете Фонда пенсионного и социального страхования Российской Федерации на 2025 год и на плановый период 2026 и 2027 годов&quot; {КонсультантПлюс}">
        <w:r>
          <w:rPr>
            <w:color w:val="0000FF"/>
          </w:rPr>
          <w:t>законом</w:t>
        </w:r>
      </w:hyperlink>
      <w:r>
        <w:t xml:space="preserve"> от 30 ноября 2024 г. N 423-ФЗ "О бюджете Фонда пенсионного и социального страхования Российской Федерации на 2025 год и на плановый период 2026 и 2027 годов" Фонд</w:t>
      </w:r>
      <w:r>
        <w:t>у на реализацию мероприятия по государственной поддержке трудоустройства работников из другой местности или других территорий предусмотрено: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lastRenderedPageBreak/>
        <w:t>в 2025 году - 500 000,0 тыс. рублей;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2026 году - 500 000,0 тыс. рублей;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2027 году - 1 000 000,0 тыс. рублей.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Размер МРОТ, установленный на 2025 г. - 22 440,0 руб., на 2026 г. - 27 008,0 руб., на 2027 г. - 31 189,0 руб.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Таким образом, объем средств федерального бюджета, необходимый для реализации выплаты субсидии по привлечению работников из другой местности в орг</w:t>
      </w:r>
      <w:r>
        <w:t>анизации, испытывающие потребность в привлечении работников по востребованным профессиям, исходя из предполагаемого количества работников, составит: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2025 году: 1 298 чел. x 67 320 руб. x 1,3 x 1,1 x 4 = 499 821,4 тыс. рублей;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2026 году: 1 079 чел. x 81</w:t>
      </w:r>
      <w:r>
        <w:t xml:space="preserve"> 024,0 руб. x 1,3 x 1,1 x 4 = 500 070,4 тыс. рублей;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2027 году: 1 868 чел. x 93 567,0 руб. x 1,3 x 1,1 x 4 = 999 760,3 тыс. рублей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Размер выплаты субсидии по привлечению работников из другой местности в организации, испытывающие потребность в привлечении</w:t>
      </w:r>
      <w:r>
        <w:t xml:space="preserve"> работников по востребованным профессиям, рассчитывается: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228850" cy="2400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t>где: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Дi - средства федерального бюджета, передаваемые бюджету Фонда на предоставление субсидии в i-м году;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Чi - численность трудоустроенных граждан в i-м году;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Ср.в.i - размер выплаты субсидии в</w:t>
      </w:r>
      <w:r>
        <w:t xml:space="preserve"> i-м году на одного трудоустроенного гражданина из расчета 3 МРОТ, с учетом страховых взносов и районного коэффициента,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где:</w:t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743200" cy="2400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30" w:rsidRDefault="00597E30">
      <w:pPr>
        <w:pStyle w:val="ConsPlusNormal0"/>
        <w:jc w:val="both"/>
      </w:pPr>
    </w:p>
    <w:p w:rsidR="00597E30" w:rsidRDefault="009538BD">
      <w:pPr>
        <w:pStyle w:val="ConsPlusNormal0"/>
        <w:ind w:firstLine="540"/>
        <w:jc w:val="both"/>
      </w:pPr>
      <w:r>
        <w:t>где: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МРОТi - сумма минимального размера оплаты труда, установленная законодательством Российской Федерации в i-м году;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Рст.вз.i</w:t>
      </w:r>
      <w:r>
        <w:t xml:space="preserve"> - размер страховых взносов во внебюджетные фонды (1,3);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Rк - средний районный коэффициент по Российской Федерации устанавливается на уровне </w:t>
      </w:r>
      <w:r>
        <w:lastRenderedPageBreak/>
        <w:t>1,1;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Кмрот.i - количество выплат на одного трудоустроенного в год (4 выплаты).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Допускается применение поправочных к</w:t>
      </w:r>
      <w:r>
        <w:t>оэффициентов и показателей, учитывающих изменение законодательства Российской Федерации, а также особенности осуществления выплат в отчетом и планируемых периодах, при расчете Чi, К мрот.i и Ср.в.i. Значения показателей на 2026 год и последующие годы будут</w:t>
      </w:r>
      <w:r>
        <w:t xml:space="preserve"> ежегодно пересматриваться в связи с принятием закона о федеральном бюджете на следующий год и на плановый период.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7. Порядок расчета объема средств, подлежащих возврату в бюджет Фонда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случае если работодателем по истечении 3-го, 6-го, 9-го и 12-го месяцев работы трудоустроенного гражданина допущено недостижение значения результата предоставления субсидии, размер средств, подлежащих возврату в бюджет Фонда до 1 июня года, следующего за</w:t>
      </w:r>
      <w:r>
        <w:t xml:space="preserve"> годом предоставления субсидии (Vвозврата), рассчитывается по формуле: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</w:pPr>
      <w:r>
        <w:t>Vвозврата = Vсуб x k,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</w:pPr>
      <w:r>
        <w:t>где: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Vсуб - размер субсидии, предоставленной работодателю;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формуле: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</w:pPr>
      <w:r>
        <w:rPr>
          <w:noProof/>
          <w:position w:val="-24"/>
        </w:rPr>
        <w:drawing>
          <wp:inline distT="0" distB="0" distL="0" distR="0">
            <wp:extent cx="822960" cy="4686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</w:pPr>
      <w:r>
        <w:t>где: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T - фактически достигнутое по истечении соответствующих периодов значение результата предоставления субсидии;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Основанием для освобождения работодателя от возврата субсидии в бюджет Фонда является д</w:t>
      </w:r>
      <w:r>
        <w:t>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В случае нарушения получателем субсидий условий, установленных при предоставлении субсидии, выявленного в том числе по фактам </w:t>
      </w:r>
      <w:r>
        <w:t>проверок, проведенных Фондом и (или) органом государственного финансового контроля (за исключением случая недостижения значения результата предоставления субсидии), средства субсидии в объеме выявленных нарушений подлежат возврату уполномоченным банком в д</w:t>
      </w:r>
      <w:r>
        <w:t>оход бюджета Фонда.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8. Условия и порядок предоставления субсидии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lastRenderedPageBreak/>
        <w:t xml:space="preserve">8.1. Граждане, трудоустроенные по программе "Мобильность 2.0", должны относиться к категории лиц, с которыми в соответствии с Трудовым </w:t>
      </w:r>
      <w:hyperlink r:id="rId38" w:tooltip="&quot;Трудовой кодекс Российской Федерации&quot; от 30.12.2001 N 197-ФЗ (ред. от 07.04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возможно заключение трудового договора.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</w:t>
      </w:r>
      <w:r>
        <w:t>2.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</w:t>
      </w:r>
      <w:r>
        <w:t>тром (без заключения соглашения о предоставлении субсидии).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2" w:name="P279"/>
      <w:bookmarkEnd w:id="2"/>
      <w:r>
        <w:t xml:space="preserve">8.3. Для получения субсидии работодатель включается в реестр при </w:t>
      </w:r>
      <w:r>
        <w:t>соблюдении следующих условий: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направление Заявления;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включение работодателя в перечень организаций;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в) привлечение работников определенных профессий (должностей, специальностей), включенных в перечень профессий.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</w:t>
      </w:r>
      <w:r>
        <w:t xml:space="preserve"> того же субъекта Российской Федерации, следующим критериям: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</w:t>
      </w:r>
      <w:r>
        <w:t>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</w:t>
      </w:r>
      <w:r>
        <w:t>и не менее 50 километров;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</w:t>
      </w:r>
      <w:r>
        <w:t>ционного учета в качестве ищущего работу или безработного;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</w:t>
      </w:r>
      <w:r>
        <w:t>вому месту проживания, аренда жилья и (или) иные выплаты);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- выплата работодателем зара</w:t>
      </w:r>
      <w:r>
        <w:t xml:space="preserve">ботной платы трудоустроенным гражданам в размере не ниже величины минимального размера оплаты труда, установленного Федеральным </w:t>
      </w:r>
      <w:hyperlink r:id="rId39" w:tooltip="Федеральный закон от 19.06.2000 N 82-ФЗ (ред. от 29.10.2024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</w:t>
      </w:r>
      <w:r>
        <w:lastRenderedPageBreak/>
        <w:t>2000 г. N 82-ФЗ "О минимальном размере оплаты труда" (для работодателей, включенных в перечни организаций как организации, осущест</w:t>
      </w:r>
      <w:r>
        <w:t>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целях предоставления субсидии р</w:t>
      </w:r>
      <w:r>
        <w:t>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</w:t>
      </w:r>
      <w:r>
        <w:t>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8.4. Основанием для отказа во включении в реестр является отсутствие свободных остатков лимитов бюджетных</w:t>
      </w:r>
      <w:r>
        <w:t xml:space="preserve"> обязательств, предусмотренных на цель предоставления субсидии, и (или) несоответствие работодателя условиям предоставления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279" w:tooltip="8.3. Для получения субсидии работодатель включается в реестр при соблюдении следующих условий:">
        <w:r>
          <w:rPr>
            <w:color w:val="0000FF"/>
          </w:rPr>
          <w:t>пункте 8.3</w:t>
        </w:r>
      </w:hyperlink>
      <w:r>
        <w:t xml:space="preserve"> настоящего Решения.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3" w:name="P292"/>
      <w:bookmarkEnd w:id="3"/>
      <w:r>
        <w:t>8.6. Размер субсидии работодателям определяется как произведение размера выплаты, предусмотренной на одного тру</w:t>
      </w:r>
      <w:r>
        <w:t>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Выплата работодателю на одного </w:t>
      </w:r>
      <w:r>
        <w:t xml:space="preserve">трудоустроенного гражданина составляет 3 минимальных размера оплаты труда, установленного Федеральным </w:t>
      </w:r>
      <w:hyperlink r:id="rId40" w:tooltip="Федеральный закон от 19.06.2000 N 82-ФЗ (ред. от 29.10.2024) &quot;О минимальном размере оплаты труда&quot; {КонсультантПлюс}">
        <w:r>
          <w:rPr>
            <w:color w:val="0000FF"/>
          </w:rPr>
          <w:t>законом</w:t>
        </w:r>
      </w:hyperlink>
      <w:r>
        <w:t xml:space="preserve"> от 19 июня 2000 г. N 82-ФЗ "О минимальном размере оплаты труда", раз в 3 месяца, увеличенного на сумму страховых взносов в государственные внебюджетные фонды и районны</w:t>
      </w:r>
      <w:r>
        <w:t>й коэффициент.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8.7. Предоставление субсидии осуществляется Фондом: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по истечении 3-го месяца работы трудоустроенного гражданина;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по истечении 6-го месяца работы трудоустроенного гражданина;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в) по истечении 9-го месяца работы трудоустроенного гражданин</w:t>
      </w:r>
      <w:r>
        <w:t>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г) по истечении 12-го месяца работы трудоустроенного гражданина.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8.8. Предоставление субсидии осуществляется Фондом по истечении каждого третьего месяца работы трудоустроенного гражданина после проверки факта, что гражданин продолжает трудовую деятельно</w:t>
      </w:r>
      <w:r>
        <w:t>сть у работодателя, включенного в перечень организаций.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8.9. Работодатель вправе подать в Фонд заявление об отказе в предоставлении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4" w:name="P301"/>
      <w:bookmarkEnd w:id="4"/>
      <w:r>
        <w:t>8.10. Работодатель не ранее чем через 3 месяца после даты, с которой трудоустроенный гражданин приступил к исполне</w:t>
      </w:r>
      <w:r>
        <w:t xml:space="preserve">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</w:t>
      </w:r>
      <w:r>
        <w:lastRenderedPageBreak/>
        <w:t>квалифицированной электронной подпись</w:t>
      </w:r>
      <w:r>
        <w:t>ю или простой электронной подписью уполномоченного сотрудника работодателя, в федеральную государственную информационную систему "Единая интегрированная информационная система "Соцстрах" Фонда с использованием информационных систем, применяемых работодател</w:t>
      </w:r>
      <w:r>
        <w:t>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5" w:name="P302"/>
      <w:bookmarkEnd w:id="5"/>
      <w:r>
        <w:t>8.11. Заявление формируется с указанием: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следующих сведений о работодателе: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код причины постановки на учет;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</w:t>
      </w:r>
      <w:r>
        <w:t>я национальным платежным инструментом);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регистрационный номер страхователя;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следующих сведений по каждому трудоустроенному гражданину: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дата рождения;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сумма страховых взносов в государственные внебюджетные фонды;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размер районного коэффициента;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дата заключения трудового договора и дата, с которой трудоустроенны</w:t>
      </w:r>
      <w:r>
        <w:t>й гражданин приступил к исполнению трудовых обязанностей;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дата и номер приказа работодателя о приеме на работу гражданина (при наличии);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профессия (должность, специальность).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Организация включает в Заявление в том числе наименование государственного учрежд</w:t>
      </w:r>
      <w:r>
        <w:t xml:space="preserve">ения </w:t>
      </w:r>
      <w:r>
        <w:lastRenderedPageBreak/>
        <w:t xml:space="preserve">службы занятости населения, в котором трудоустроенный гражданин был зарегистрирован в 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</w:t>
      </w:r>
      <w:r>
        <w:t>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8.12. Формат представления Заявления определяется Фондом.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6" w:name="P323"/>
      <w:bookmarkEnd w:id="6"/>
      <w:r>
        <w:t xml:space="preserve">8.13. </w:t>
      </w:r>
      <w:r>
        <w:t>Фонд (в том числе с использованием каналов межведомственного взаимодействия) осуществляет: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</w:t>
      </w:r>
      <w:r>
        <w:t>ений о работодателях, трудоустроивших граждан, а также о трудоустроенных гражданах;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</w:t>
      </w:r>
      <w:r>
        <w:t>ого счета работника в системах обязательного пенсионного страхования и обязательного социального страхования.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Проверки и идентификации осуществляются Фондом по истечении каждого из периодов, указанных в </w:t>
      </w:r>
      <w:hyperlink w:anchor="P292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пункте 8.6</w:t>
        </w:r>
      </w:hyperlink>
      <w:r>
        <w:t xml:space="preserve"> насто</w:t>
      </w:r>
      <w:r>
        <w:t>ящего Решения.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8.14.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8.15. Ф</w:t>
      </w:r>
      <w:r>
        <w:t xml:space="preserve">онд в случае отрицательного результата проверки и идентификации, предусмотренных </w:t>
      </w:r>
      <w:hyperlink w:anchor="P323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в течение 10 </w:t>
      </w:r>
      <w:r>
        <w:t>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</w:t>
      </w:r>
      <w:r>
        <w:t>онной сети "Интернет" (далее - сеть "Интернет").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8.16. Фонд в случае положительного результата проверки и идентификации, предусмотренных </w:t>
      </w:r>
      <w:hyperlink w:anchor="P323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производит расчет размера субсидии.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</w:t>
      </w:r>
      <w:r>
        <w:t>лем в Заявлении, на расчетные счета работодателя, открытые в российских кредитных организациях.</w:t>
      </w:r>
    </w:p>
    <w:p w:rsidR="00597E30" w:rsidRDefault="009538BD">
      <w:pPr>
        <w:pStyle w:val="ConsPlusNormal0"/>
        <w:spacing w:before="240"/>
        <w:ind w:firstLine="540"/>
        <w:jc w:val="both"/>
      </w:pPr>
      <w:bookmarkStart w:id="7" w:name="P331"/>
      <w:bookmarkEnd w:id="7"/>
      <w:r>
        <w:t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</w:t>
      </w:r>
      <w:r>
        <w:t xml:space="preserve">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01" w:tooltip="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">
        <w:r>
          <w:rPr>
            <w:color w:val="0000FF"/>
          </w:rPr>
          <w:t>пунктами 8.10</w:t>
        </w:r>
      </w:hyperlink>
      <w:r>
        <w:t xml:space="preserve">, </w:t>
      </w:r>
      <w:hyperlink w:anchor="P302" w:tooltip="8.11. Заявление формируется с указанием:">
        <w:r>
          <w:rPr>
            <w:color w:val="0000FF"/>
          </w:rPr>
          <w:t>8.11</w:t>
        </w:r>
      </w:hyperlink>
      <w:r>
        <w:t xml:space="preserve"> настоящего Решения, с пояснением работодателя, подтверждающим обоснованность такого перерасчета.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lastRenderedPageBreak/>
        <w:t>Формат представления указанного заявления определяется Фондом.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8.19. В случае отрицательного результата проверки и идентификации, </w:t>
      </w:r>
      <w:r>
        <w:t xml:space="preserve">предусмотренных </w:t>
      </w:r>
      <w:hyperlink w:anchor="P323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Фонд в течение 10 рабочих дней со дня направления заявления, указанного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8.20. В случае положительного результата проверки и идентификации, предусмотренных </w:t>
      </w:r>
      <w:hyperlink w:anchor="P323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Фонд произв</w:t>
      </w:r>
      <w:r>
        <w:t xml:space="preserve">одит перерасчет размера субсидии и осуществляет его перечисление работодателю в течение 10 рабочих дней со дня направления заявления, указанного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8.21. Информация о перечислении субсидии</w:t>
      </w:r>
      <w:r>
        <w:t xml:space="preserve">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8.22. Работодатель, направляя Заявление или заявление, указанное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Решения, дает согласие: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б) на возврат в доход бюджета Фонда полученно</w:t>
      </w:r>
      <w:r>
        <w:t>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в) на достижение результата предоставления субсидии;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92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пунктом 8.6</w:t>
        </w:r>
      </w:hyperlink>
      <w:r>
        <w:t xml:space="preserve"> настоящего Реше</w:t>
      </w:r>
      <w:r>
        <w:t>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</w:t>
      </w:r>
      <w:r>
        <w:t>вии с законодательством Российской Федерации.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8.24. Работодатель, направляя Заявление, подтверждает полноту и достоверность св</w:t>
      </w:r>
      <w:r>
        <w:t>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597E30" w:rsidRDefault="00597E30">
      <w:pPr>
        <w:pStyle w:val="ConsPlusNormal0"/>
        <w:ind w:firstLine="540"/>
        <w:jc w:val="both"/>
      </w:pPr>
    </w:p>
    <w:p w:rsidR="00597E30" w:rsidRDefault="009538BD">
      <w:pPr>
        <w:pStyle w:val="ConsPlusNormal0"/>
        <w:ind w:firstLine="540"/>
        <w:jc w:val="both"/>
        <w:outlineLvl w:val="1"/>
      </w:pPr>
      <w:r>
        <w:t>9. Иные условия предоставления субсидии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О</w:t>
      </w:r>
      <w:r>
        <w:t xml:space="preserve">рганы службы занятости в рамках полномочий, предусмотренных Федеральным </w:t>
      </w:r>
      <w:hyperlink r:id="rId4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12 декабря 2023 г. N 565-ФЗ "О занятости населения в Российской Федерации", оказывают работодателю содействие в подборе необходимых раб</w:t>
      </w:r>
      <w:r>
        <w:t>отников из числа граждан, соответствующих требованиям, предусмотренным настоящим Решением.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</w:t>
      </w:r>
      <w:r>
        <w:t>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</w:t>
      </w:r>
      <w:r>
        <w:t>ифровой платформе.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</w:t>
      </w:r>
      <w:r>
        <w:t xml:space="preserve">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</w:t>
      </w:r>
      <w:hyperlink r:id="rId42" w:tooltip="Постановление Правительства РФ от 22.12.2022 N 2371 (ред. от 27.06.2024) &quot;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&quot; {К">
        <w:r>
          <w:rPr>
            <w:color w:val="0000FF"/>
          </w:rPr>
          <w:t>пунктов 20</w:t>
        </w:r>
      </w:hyperlink>
      <w:r>
        <w:t xml:space="preserve"> и </w:t>
      </w:r>
      <w:hyperlink r:id="rId43" w:tooltip="Постановление Правительства РФ от 22.12.2022 N 2371 (ред. от 27.06.2024) &quot;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&quot; {К">
        <w:r>
          <w:rPr>
            <w:color w:val="0000FF"/>
          </w:rPr>
          <w:t>21</w:t>
        </w:r>
      </w:hyperlink>
      <w:r>
        <w:t xml:space="preserve"> особенностей применени</w:t>
      </w:r>
      <w:r>
        <w:t>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2371 "Об о</w:t>
      </w:r>
      <w:r>
        <w:t>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597E30" w:rsidRDefault="009538BD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полном</w:t>
      </w:r>
      <w:r>
        <w:t>очия в сфере занятости населения, направляют в Фонд с использованием федеральной государственной информационной системы "Единая интегрированная информационная система "Соцстрах" Фонда в течение 3 рабочих дней со дня трудоустройства граждан по форматам, опр</w:t>
      </w:r>
      <w:r>
        <w:t>еделяемым Фондом, сведения о работодателях, трудоустроивших граждан, а также о трудоустроенных гражданах.</w:t>
      </w: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jc w:val="both"/>
      </w:pPr>
    </w:p>
    <w:p w:rsidR="00597E30" w:rsidRDefault="00597E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97E30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BD" w:rsidRDefault="009538BD">
      <w:r>
        <w:separator/>
      </w:r>
    </w:p>
  </w:endnote>
  <w:endnote w:type="continuationSeparator" w:id="0">
    <w:p w:rsidR="009538BD" w:rsidRDefault="0095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97E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9538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97E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9538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97E3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9538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97E3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9538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97E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9538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97E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7E30" w:rsidRDefault="009538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7E30" w:rsidRDefault="009538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7E30" w:rsidRDefault="009538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07F2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97E30" w:rsidRDefault="009538B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BD" w:rsidRDefault="009538BD">
      <w:r>
        <w:separator/>
      </w:r>
    </w:p>
  </w:footnote>
  <w:footnote w:type="continuationSeparator" w:id="0">
    <w:p w:rsidR="009538BD" w:rsidRDefault="0095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97E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97E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97E3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597E3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</w:t>
          </w:r>
          <w:r>
            <w:rPr>
              <w:rFonts w:ascii="Tahoma" w:hAnsi="Tahoma" w:cs="Tahoma"/>
              <w:sz w:val="16"/>
              <w:szCs w:val="16"/>
            </w:rPr>
            <w:t xml:space="preserve">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97E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97E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7E30" w:rsidRDefault="009538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Решения о порядке предоставления субсидии на </w:t>
          </w:r>
          <w:r>
            <w:rPr>
              <w:rFonts w:ascii="Tahoma" w:hAnsi="Tahoma" w:cs="Tahoma"/>
              <w:sz w:val="16"/>
              <w:szCs w:val="16"/>
            </w:rPr>
            <w:t>госуда...</w:t>
          </w:r>
        </w:p>
      </w:tc>
      <w:tc>
        <w:tcPr>
          <w:tcW w:w="2300" w:type="pct"/>
          <w:vAlign w:val="center"/>
        </w:tcPr>
        <w:p w:rsidR="00597E30" w:rsidRDefault="009538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597E30" w:rsidRDefault="00597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7E30" w:rsidRDefault="00597E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30"/>
    <w:rsid w:val="00597E30"/>
    <w:rsid w:val="009538BD"/>
    <w:rsid w:val="00F7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CF86-6D36-4FBB-A085-3260BC06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130&amp;date=12.08.2025" TargetMode="External"/><Relationship Id="rId18" Type="http://schemas.openxmlformats.org/officeDocument/2006/relationships/hyperlink" Target="https://login.consultant.ru/link/?req=doc&amp;base=LAW&amp;n=510130&amp;date=12.08.2025" TargetMode="External"/><Relationship Id="rId26" Type="http://schemas.openxmlformats.org/officeDocument/2006/relationships/hyperlink" Target="https://login.consultant.ru/link/?req=doc&amp;base=LAW&amp;n=495935&amp;date=12.08.2025" TargetMode="External"/><Relationship Id="rId39" Type="http://schemas.openxmlformats.org/officeDocument/2006/relationships/hyperlink" Target="https://login.consultant.ru/link/?req=doc&amp;base=LAW&amp;n=489330&amp;date=12.08.2025&amp;dst=23&amp;field=134" TargetMode="External"/><Relationship Id="rId21" Type="http://schemas.openxmlformats.org/officeDocument/2006/relationships/hyperlink" Target="https://login.consultant.ru/link/?req=doc&amp;base=LAW&amp;n=489743&amp;date=12.08.2025" TargetMode="External"/><Relationship Id="rId34" Type="http://schemas.openxmlformats.org/officeDocument/2006/relationships/hyperlink" Target="https://login.consultant.ru/link/?req=doc&amp;base=LAW&amp;n=491946&amp;date=12.08.2025" TargetMode="External"/><Relationship Id="rId42" Type="http://schemas.openxmlformats.org/officeDocument/2006/relationships/hyperlink" Target="https://login.consultant.ru/link/?req=doc&amp;base=LAW&amp;n=479729&amp;date=12.08.2025&amp;dst=100042&amp;field=134" TargetMode="External"/><Relationship Id="rId47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4334&amp;date=12.08.2025&amp;dst=100032&amp;field=134" TargetMode="External"/><Relationship Id="rId29" Type="http://schemas.openxmlformats.org/officeDocument/2006/relationships/footer" Target="footer3.xml"/><Relationship Id="rId11" Type="http://schemas.openxmlformats.org/officeDocument/2006/relationships/hyperlink" Target="https://login.consultant.ru/link/?req=doc&amp;base=LAW&amp;n=501797&amp;date=12.08.2025&amp;dst=100052&amp;field=134" TargetMode="External"/><Relationship Id="rId24" Type="http://schemas.openxmlformats.org/officeDocument/2006/relationships/header" Target="header2.xml"/><Relationship Id="rId32" Type="http://schemas.openxmlformats.org/officeDocument/2006/relationships/image" Target="media/image2.wmf"/><Relationship Id="rId37" Type="http://schemas.openxmlformats.org/officeDocument/2006/relationships/image" Target="media/image6.wmf"/><Relationship Id="rId40" Type="http://schemas.openxmlformats.org/officeDocument/2006/relationships/hyperlink" Target="https://login.consultant.ru/link/?req=doc&amp;base=LAW&amp;n=489330&amp;date=12.08.2025&amp;dst=23&amp;field=134" TargetMode="External"/><Relationship Id="rId45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0131&amp;date=12.08.2025" TargetMode="Externa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36" Type="http://schemas.openxmlformats.org/officeDocument/2006/relationships/image" Target="media/image5.wmf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4334&amp;date=12.08.2025&amp;dst=100341&amp;field=134" TargetMode="External"/><Relationship Id="rId19" Type="http://schemas.openxmlformats.org/officeDocument/2006/relationships/hyperlink" Target="https://login.consultant.ru/link/?req=doc&amp;base=LAW&amp;n=420230&amp;date=12.08.2025&amp;dst=100010&amp;field=134" TargetMode="External"/><Relationship Id="rId31" Type="http://schemas.openxmlformats.org/officeDocument/2006/relationships/footer" Target="footer4.xml"/><Relationship Id="rId44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797&amp;date=12.08.2025&amp;dst=100052&amp;field=134" TargetMode="External"/><Relationship Id="rId14" Type="http://schemas.openxmlformats.org/officeDocument/2006/relationships/hyperlink" Target="https://login.consultant.ru/link/?req=doc&amp;base=LAW&amp;n=491236&amp;date=12.08.2025&amp;dst=25980&amp;field=134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login.consultant.ru/link/?req=doc&amp;base=LAW&amp;n=495935&amp;date=12.08.2025&amp;dst=102208&amp;field=134" TargetMode="External"/><Relationship Id="rId30" Type="http://schemas.openxmlformats.org/officeDocument/2006/relationships/header" Target="header4.xml"/><Relationship Id="rId35" Type="http://schemas.openxmlformats.org/officeDocument/2006/relationships/image" Target="media/image4.wmf"/><Relationship Id="rId43" Type="http://schemas.openxmlformats.org/officeDocument/2006/relationships/hyperlink" Target="https://login.consultant.ru/link/?req=doc&amp;base=LAW&amp;n=479729&amp;date=12.08.2025&amp;dst=100043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9911&amp;date=12.08.2025" TargetMode="External"/><Relationship Id="rId17" Type="http://schemas.openxmlformats.org/officeDocument/2006/relationships/hyperlink" Target="https://login.consultant.ru/link/?req=doc&amp;base=LAW&amp;n=510131&amp;date=12.08.2025" TargetMode="External"/><Relationship Id="rId25" Type="http://schemas.openxmlformats.org/officeDocument/2006/relationships/footer" Target="footer2.xml"/><Relationship Id="rId33" Type="http://schemas.openxmlformats.org/officeDocument/2006/relationships/image" Target="media/image3.wmf"/><Relationship Id="rId38" Type="http://schemas.openxmlformats.org/officeDocument/2006/relationships/hyperlink" Target="https://login.consultant.ru/link/?req=doc&amp;base=LAW&amp;n=502632&amp;date=12.08.2025" TargetMode="External"/><Relationship Id="rId46" Type="http://schemas.openxmlformats.org/officeDocument/2006/relationships/header" Target="header6.xml"/><Relationship Id="rId20" Type="http://schemas.openxmlformats.org/officeDocument/2006/relationships/hyperlink" Target="https://login.consultant.ru/link/?req=doc&amp;base=LAW&amp;n=503623&amp;date=12.08.2025&amp;dst=100008&amp;field=134" TargetMode="External"/><Relationship Id="rId41" Type="http://schemas.openxmlformats.org/officeDocument/2006/relationships/hyperlink" Target="https://login.consultant.ru/link/?req=doc&amp;base=LAW&amp;n=482895&amp;date=12.08.2025&amp;dst=100623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7108</Words>
  <Characters>40519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29.12.2024 N 2713
(ред. от 13.03.2025)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vt:lpstr>
    </vt:vector>
  </TitlesOfParts>
  <Company>КонсультантПлюс Версия 4024.00.50</Company>
  <LinksUpToDate>false</LinksUpToDate>
  <CharactersWithSpaces>47532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29.12.2024 N 2713
(ред. от 13.03.2025)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dc:title>
  <dc:creator>Максудова Зиля Файзуллова</dc:creator>
  <cp:lastModifiedBy>Максудова Зиля Файзуллова</cp:lastModifiedBy>
  <cp:revision>2</cp:revision>
  <dcterms:created xsi:type="dcterms:W3CDTF">2025-08-12T07:07:00Z</dcterms:created>
  <dcterms:modified xsi:type="dcterms:W3CDTF">2025-08-12T07:07:00Z</dcterms:modified>
</cp:coreProperties>
</file>