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6" w:rsidRPr="00EE2993" w:rsidRDefault="002C7A76" w:rsidP="00CB77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2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езультаты независимой оценки качества условий </w:t>
      </w:r>
    </w:p>
    <w:p w:rsidR="002C7A76" w:rsidRPr="00EE2993" w:rsidRDefault="002C7A76" w:rsidP="00CB77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услуг организациями социального обслуживания </w:t>
      </w:r>
    </w:p>
    <w:p w:rsidR="002C7A76" w:rsidRPr="00EE2993" w:rsidRDefault="002C7A76" w:rsidP="00CB77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Республике Татарстан в 2024 году </w:t>
      </w:r>
    </w:p>
    <w:p w:rsidR="002C7A76" w:rsidRDefault="002C7A76" w:rsidP="00CB77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A98" w:rsidRPr="00EE2993" w:rsidRDefault="006A5A98" w:rsidP="00CB77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A76" w:rsidRPr="00EE2993" w:rsidRDefault="002C7A76" w:rsidP="00CB77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2993">
        <w:rPr>
          <w:rFonts w:ascii="Times New Roman" w:hAnsi="Times New Roman" w:cs="Times New Roman"/>
          <w:color w:val="000000" w:themeColor="text1"/>
          <w:sz w:val="28"/>
          <w:szCs w:val="28"/>
        </w:rPr>
        <w:t>Общий средний балл по организациям социального обслуживания в Республике Татарстан составил 98</w:t>
      </w:r>
      <w:r w:rsidR="00CB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 100 максимальных)</w:t>
      </w:r>
      <w:r w:rsidRPr="00EE2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2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Наиболее </w:t>
      </w:r>
      <w:r w:rsidR="00CB7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высокую оценку получили критерий</w:t>
      </w:r>
      <w:r w:rsidRPr="00EE2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«Доброжелательность, вежливость работников организации» 99,9 баллов и критерий «Удовлетворенность условиями оказания услуг» 99,7 баллов. Критерий «Комфортность условий предоставления услуг» находится также на высоком уровне и составил 99,4 баллов. Критерий «Открытость и доступность информации» оценен в 99 баллов. Критерий «Доступность услуг для инвалидов» набрал 92 балла.</w:t>
      </w:r>
      <w:bookmarkStart w:id="0" w:name="_GoBack"/>
      <w:bookmarkEnd w:id="0"/>
    </w:p>
    <w:p w:rsidR="002C7A76" w:rsidRPr="00EE2993" w:rsidRDefault="002C7A76" w:rsidP="002C7A7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7A76" w:rsidRPr="00EE2993" w:rsidRDefault="002C7A76" w:rsidP="002C7A76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299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1E42D4" wp14:editId="6AF6C49C">
            <wp:extent cx="6362700" cy="3971925"/>
            <wp:effectExtent l="0" t="0" r="0" b="9525"/>
            <wp:docPr id="1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C7A76" w:rsidRPr="00EE2993" w:rsidRDefault="002C7A76" w:rsidP="002C7A7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7806" w:rsidRDefault="00C27806"/>
    <w:sectPr w:rsidR="00C27806" w:rsidSect="002C7A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76"/>
    <w:rsid w:val="002C7A76"/>
    <w:rsid w:val="003032C7"/>
    <w:rsid w:val="006A5A98"/>
    <w:rsid w:val="00C27806"/>
    <w:rsid w:val="00C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7C33"/>
  <w15:chartTrackingRefBased/>
  <w15:docId w15:val="{11365567-9D13-4E2C-A5B8-58D62B9E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оценка</a:t>
            </a:r>
            <a:r>
              <a:rPr lang="ru-RU" baseline="0"/>
              <a:t> критериев</a:t>
            </a:r>
            <a:endParaRPr lang="ru-RU"/>
          </a:p>
        </c:rich>
      </c:tx>
      <c:overlay val="0"/>
      <c:spPr>
        <a:noFill/>
        <a:ln w="25371">
          <a:noFill/>
        </a:ln>
      </c:sp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7FD13B"/>
              </a:solidFill>
              <a:ln w="25371">
                <a:noFill/>
              </a:ln>
            </c:spPr>
            <c:extLst>
              <c:ext xmlns:c16="http://schemas.microsoft.com/office/drawing/2014/chart" uri="{C3380CC4-5D6E-409C-BE32-E72D297353CC}">
                <c16:uniqueId val="{00000001-2A6B-4332-B966-4115A7E4B131}"/>
              </c:ext>
            </c:extLst>
          </c:dPt>
          <c:dPt>
            <c:idx val="1"/>
            <c:invertIfNegative val="0"/>
            <c:bubble3D val="0"/>
            <c:spPr>
              <a:solidFill>
                <a:srgbClr val="EA157A"/>
              </a:solidFill>
              <a:ln w="25371">
                <a:noFill/>
              </a:ln>
            </c:spPr>
            <c:extLst>
              <c:ext xmlns:c16="http://schemas.microsoft.com/office/drawing/2014/chart" uri="{C3380CC4-5D6E-409C-BE32-E72D297353CC}">
                <c16:uniqueId val="{00000003-2A6B-4332-B966-4115A7E4B131}"/>
              </c:ext>
            </c:extLst>
          </c:dPt>
          <c:dPt>
            <c:idx val="2"/>
            <c:invertIfNegative val="0"/>
            <c:bubble3D val="0"/>
            <c:spPr>
              <a:solidFill>
                <a:srgbClr val="FEB80A"/>
              </a:solidFill>
              <a:ln w="25371">
                <a:noFill/>
              </a:ln>
            </c:spPr>
            <c:extLst>
              <c:ext xmlns:c16="http://schemas.microsoft.com/office/drawing/2014/chart" uri="{C3380CC4-5D6E-409C-BE32-E72D297353CC}">
                <c16:uniqueId val="{00000005-2A6B-4332-B966-4115A7E4B131}"/>
              </c:ext>
            </c:extLst>
          </c:dPt>
          <c:dPt>
            <c:idx val="3"/>
            <c:invertIfNegative val="0"/>
            <c:bubble3D val="0"/>
            <c:spPr>
              <a:solidFill>
                <a:srgbClr val="00ADDC"/>
              </a:solidFill>
              <a:ln w="25371">
                <a:noFill/>
              </a:ln>
            </c:spPr>
            <c:extLst>
              <c:ext xmlns:c16="http://schemas.microsoft.com/office/drawing/2014/chart" uri="{C3380CC4-5D6E-409C-BE32-E72D297353CC}">
                <c16:uniqueId val="{00000007-2A6B-4332-B966-4115A7E4B131}"/>
              </c:ext>
            </c:extLst>
          </c:dPt>
          <c:dPt>
            <c:idx val="4"/>
            <c:invertIfNegative val="0"/>
            <c:bubble3D val="0"/>
            <c:spPr>
              <a:solidFill>
                <a:srgbClr val="738AC8"/>
              </a:solidFill>
              <a:ln w="25371">
                <a:noFill/>
              </a:ln>
            </c:spPr>
            <c:extLst>
              <c:ext xmlns:c16="http://schemas.microsoft.com/office/drawing/2014/chart" uri="{C3380CC4-5D6E-409C-BE32-E72D297353CC}">
                <c16:uniqueId val="{00000009-2A6B-4332-B966-4115A7E4B131}"/>
              </c:ext>
            </c:extLst>
          </c:dPt>
          <c:dPt>
            <c:idx val="5"/>
            <c:invertIfNegative val="0"/>
            <c:bubble3D val="0"/>
            <c:spPr>
              <a:solidFill>
                <a:srgbClr val="1AB39F"/>
              </a:solidFill>
              <a:ln w="25371">
                <a:noFill/>
              </a:ln>
            </c:spPr>
            <c:extLst>
              <c:ext xmlns:c16="http://schemas.microsoft.com/office/drawing/2014/chart" uri="{C3380CC4-5D6E-409C-BE32-E72D297353CC}">
                <c16:uniqueId val="{0000000B-2A6B-4332-B966-4115A7E4B13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99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6B-4332-B966-4115A7E4B13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99,4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6B-4332-B966-4115A7E4B13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92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6B-4332-B966-4115A7E4B13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/>
                      <a:t>99,9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6B-4332-B966-4115A7E4B13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/>
                      <a:t>99,7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6B-4332-B966-4115A7E4B13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6B-4332-B966-4115A7E4B131}"/>
                </c:ext>
              </c:extLst>
            </c:dLbl>
            <c:spPr>
              <a:noFill/>
              <a:ln w="2537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открытость и доступность информации</c:v>
                </c:pt>
                <c:pt idx="1">
                  <c:v>комфортность условий</c:v>
                </c:pt>
                <c:pt idx="2">
                  <c:v>доступность для инвалидов</c:v>
                </c:pt>
                <c:pt idx="3">
                  <c:v>вежливость и доброжелательность сотрудников</c:v>
                </c:pt>
                <c:pt idx="4">
                  <c:v>удовлетворённость условиями</c:v>
                </c:pt>
                <c:pt idx="5">
                  <c:v>общий балл</c:v>
                </c:pt>
              </c:strCache>
            </c:strRef>
          </c:cat>
          <c:val>
            <c:numRef>
              <c:f>Лист1!$B$2:$B$7</c:f>
              <c:numCache>
                <c:formatCode>_-* #,##0.0_р_._-;\-* #,##0.0_р_._-;_-* "-"??_р_._-;_-@_-</c:formatCode>
                <c:ptCount val="6"/>
                <c:pt idx="0">
                  <c:v>99</c:v>
                </c:pt>
                <c:pt idx="1">
                  <c:v>99.4</c:v>
                </c:pt>
                <c:pt idx="2">
                  <c:v>92</c:v>
                </c:pt>
                <c:pt idx="3">
                  <c:v>99.9</c:v>
                </c:pt>
                <c:pt idx="4">
                  <c:v>99.7</c:v>
                </c:pt>
                <c:pt idx="5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A6B-4332-B966-4115A7E4B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3"/>
        <c:axId val="100347264"/>
        <c:axId val="100349056"/>
      </c:barChart>
      <c:catAx>
        <c:axId val="10034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49056"/>
        <c:crosses val="autoZero"/>
        <c:auto val="1"/>
        <c:lblAlgn val="ctr"/>
        <c:lblOffset val="100"/>
        <c:noMultiLvlLbl val="0"/>
      </c:catAx>
      <c:valAx>
        <c:axId val="100349056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.0_р_._-;\-* #,##0.0_р_._-;_-* &quot;-&quot;??_р_._-;_-@_-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47264"/>
        <c:crosses val="autoZero"/>
        <c:crossBetween val="between"/>
      </c:valAx>
      <c:spPr>
        <a:noFill/>
        <a:ln w="25371">
          <a:noFill/>
        </a:ln>
      </c:spPr>
    </c:plotArea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Метро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Светлана Владимировна</dc:creator>
  <cp:keywords/>
  <dc:description/>
  <cp:lastModifiedBy>Латыпова Светлана Владимировна</cp:lastModifiedBy>
  <cp:revision>3</cp:revision>
  <dcterms:created xsi:type="dcterms:W3CDTF">2025-01-13T11:40:00Z</dcterms:created>
  <dcterms:modified xsi:type="dcterms:W3CDTF">2025-01-13T11:53:00Z</dcterms:modified>
</cp:coreProperties>
</file>