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word/theme/themeOverride2.xml" ContentType="application/vnd.openxmlformats-officedocument.themeOverride+xml"/>
  <Default Extension="emf" ContentType="image/x-emf"/>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7A2" w:rsidRPr="00A24D29" w:rsidRDefault="008F17A2" w:rsidP="00A24D29">
      <w:pPr>
        <w:spacing w:after="0" w:line="240" w:lineRule="auto"/>
        <w:jc w:val="center"/>
        <w:rPr>
          <w:rFonts w:ascii="Times New Roman" w:hAnsi="Times New Roman"/>
          <w:b/>
          <w:sz w:val="24"/>
          <w:szCs w:val="24"/>
          <w:lang w:eastAsia="en-US"/>
        </w:rPr>
      </w:pPr>
      <w:r w:rsidRPr="00A24D29">
        <w:rPr>
          <w:rFonts w:ascii="Times New Roman" w:hAnsi="Times New Roman"/>
          <w:b/>
          <w:sz w:val="24"/>
          <w:szCs w:val="24"/>
          <w:lang w:eastAsia="en-US"/>
        </w:rPr>
        <w:t>МИНИСТЕРСТВО ТРУДА, ЗАНЯТОСТИ И СОЦИАЛЬНОЙ ЗАЩИТЫ РЕСПУБЛИКИ ТАТАРСТАН</w:t>
      </w:r>
    </w:p>
    <w:p w:rsidR="008F17A2" w:rsidRPr="00A24D29" w:rsidRDefault="008F17A2" w:rsidP="00A24D29">
      <w:pPr>
        <w:spacing w:after="0" w:line="240" w:lineRule="auto"/>
        <w:ind w:firstLine="709"/>
        <w:jc w:val="center"/>
        <w:rPr>
          <w:rFonts w:ascii="Times New Roman" w:hAnsi="Times New Roman"/>
          <w:b/>
          <w:sz w:val="24"/>
          <w:szCs w:val="24"/>
          <w:lang w:eastAsia="en-US"/>
        </w:rPr>
      </w:pPr>
      <w:r w:rsidRPr="00A24D29">
        <w:rPr>
          <w:rFonts w:ascii="Times New Roman" w:hAnsi="Times New Roman"/>
          <w:b/>
          <w:sz w:val="24"/>
          <w:szCs w:val="24"/>
          <w:lang w:eastAsia="en-US"/>
        </w:rPr>
        <w:t xml:space="preserve">                                                                                                             ПРЕСС-РЕЛИЗ</w:t>
      </w:r>
    </w:p>
    <w:tbl>
      <w:tblPr>
        <w:tblpPr w:leftFromText="180" w:rightFromText="180" w:vertAnchor="text" w:horzAnchor="margin" w:tblpXSpec="center" w:tblpY="138"/>
        <w:tblW w:w="10348" w:type="dxa"/>
        <w:tblLook w:val="00A0"/>
      </w:tblPr>
      <w:tblGrid>
        <w:gridCol w:w="3686"/>
        <w:gridCol w:w="6662"/>
      </w:tblGrid>
      <w:tr w:rsidR="008F17A2" w:rsidRPr="00A24D29" w:rsidTr="00944B7B">
        <w:tc>
          <w:tcPr>
            <w:tcW w:w="3686" w:type="dxa"/>
          </w:tcPr>
          <w:p w:rsidR="008F17A2" w:rsidRPr="00A24D29" w:rsidRDefault="008F17A2" w:rsidP="00A24D29">
            <w:pPr>
              <w:spacing w:after="0" w:line="240" w:lineRule="auto"/>
              <w:rPr>
                <w:rFonts w:ascii="Times New Roman" w:hAnsi="Times New Roman"/>
                <w:b/>
                <w:sz w:val="24"/>
                <w:szCs w:val="24"/>
                <w:lang w:eastAsia="en-US"/>
              </w:rPr>
            </w:pPr>
            <w:r w:rsidRPr="00A24D29">
              <w:rPr>
                <w:rFonts w:ascii="Times New Roman" w:hAnsi="Times New Roman"/>
                <w:b/>
                <w:sz w:val="24"/>
                <w:szCs w:val="24"/>
                <w:lang w:eastAsia="en-US"/>
              </w:rPr>
              <w:t>Место проведения:</w:t>
            </w:r>
          </w:p>
        </w:tc>
        <w:tc>
          <w:tcPr>
            <w:tcW w:w="6662" w:type="dxa"/>
          </w:tcPr>
          <w:p w:rsidR="008F17A2" w:rsidRDefault="006F4EB6" w:rsidP="00A24D29">
            <w:pPr>
              <w:spacing w:after="0" w:line="240" w:lineRule="auto"/>
              <w:rPr>
                <w:rFonts w:ascii="Times New Roman" w:hAnsi="Times New Roman"/>
                <w:b/>
                <w:sz w:val="24"/>
                <w:szCs w:val="24"/>
                <w:lang w:eastAsia="en-US"/>
              </w:rPr>
            </w:pPr>
            <w:r>
              <w:rPr>
                <w:rFonts w:ascii="Times New Roman" w:hAnsi="Times New Roman"/>
                <w:b/>
                <w:sz w:val="24"/>
                <w:szCs w:val="24"/>
                <w:lang w:eastAsia="en-US"/>
              </w:rPr>
              <w:t>Учебно-методический</w:t>
            </w:r>
            <w:r w:rsidR="008F17A2" w:rsidRPr="00A24D29">
              <w:rPr>
                <w:rFonts w:ascii="Times New Roman" w:hAnsi="Times New Roman"/>
                <w:b/>
                <w:sz w:val="24"/>
                <w:szCs w:val="24"/>
                <w:lang w:eastAsia="en-US"/>
              </w:rPr>
              <w:t xml:space="preserve"> центр </w:t>
            </w:r>
            <w:r>
              <w:rPr>
                <w:rFonts w:ascii="Times New Roman" w:hAnsi="Times New Roman"/>
                <w:b/>
                <w:sz w:val="24"/>
                <w:szCs w:val="24"/>
                <w:lang w:eastAsia="en-US"/>
              </w:rPr>
              <w:t>ФАС России</w:t>
            </w:r>
          </w:p>
          <w:p w:rsidR="008F17A2" w:rsidRPr="00A24D29" w:rsidRDefault="008F17A2" w:rsidP="00A24D29">
            <w:pPr>
              <w:spacing w:after="0" w:line="240" w:lineRule="auto"/>
              <w:rPr>
                <w:rFonts w:ascii="Times New Roman" w:hAnsi="Times New Roman"/>
                <w:sz w:val="24"/>
                <w:szCs w:val="24"/>
                <w:lang w:eastAsia="en-US"/>
              </w:rPr>
            </w:pPr>
            <w:r w:rsidRPr="00A24D29">
              <w:rPr>
                <w:rFonts w:ascii="Times New Roman" w:hAnsi="Times New Roman"/>
                <w:b/>
                <w:sz w:val="24"/>
                <w:szCs w:val="24"/>
                <w:lang w:eastAsia="en-US"/>
              </w:rPr>
              <w:t xml:space="preserve"> (Оренбургский тракт , 24)</w:t>
            </w:r>
          </w:p>
        </w:tc>
      </w:tr>
      <w:tr w:rsidR="008F17A2" w:rsidRPr="00A24D29" w:rsidTr="00944B7B">
        <w:tc>
          <w:tcPr>
            <w:tcW w:w="3686" w:type="dxa"/>
          </w:tcPr>
          <w:p w:rsidR="008F17A2" w:rsidRPr="00A24D29" w:rsidRDefault="008F17A2" w:rsidP="00A24D29">
            <w:pPr>
              <w:spacing w:after="0" w:line="240" w:lineRule="auto"/>
              <w:rPr>
                <w:rFonts w:ascii="Times New Roman" w:hAnsi="Times New Roman"/>
                <w:b/>
                <w:sz w:val="24"/>
                <w:szCs w:val="24"/>
                <w:lang w:eastAsia="en-US"/>
              </w:rPr>
            </w:pPr>
            <w:r w:rsidRPr="00A24D29">
              <w:rPr>
                <w:rFonts w:ascii="Times New Roman" w:hAnsi="Times New Roman"/>
                <w:b/>
                <w:sz w:val="24"/>
                <w:szCs w:val="24"/>
                <w:lang w:eastAsia="en-US"/>
              </w:rPr>
              <w:t>Время проведения:</w:t>
            </w:r>
          </w:p>
        </w:tc>
        <w:tc>
          <w:tcPr>
            <w:tcW w:w="6662" w:type="dxa"/>
          </w:tcPr>
          <w:p w:rsidR="008F17A2" w:rsidRPr="00A24D29" w:rsidRDefault="008F17A2" w:rsidP="00A24D29">
            <w:pPr>
              <w:spacing w:after="0" w:line="240" w:lineRule="auto"/>
              <w:rPr>
                <w:rFonts w:ascii="Times New Roman" w:hAnsi="Times New Roman"/>
                <w:sz w:val="24"/>
                <w:szCs w:val="24"/>
                <w:lang w:eastAsia="en-US"/>
              </w:rPr>
            </w:pPr>
            <w:r w:rsidRPr="00A24D29">
              <w:rPr>
                <w:rFonts w:ascii="Times New Roman" w:hAnsi="Times New Roman"/>
                <w:sz w:val="24"/>
                <w:szCs w:val="24"/>
              </w:rPr>
              <w:t>30 января</w:t>
            </w:r>
            <w:r w:rsidR="004D18C9">
              <w:rPr>
                <w:rFonts w:ascii="Times New Roman" w:hAnsi="Times New Roman"/>
                <w:sz w:val="24"/>
                <w:szCs w:val="24"/>
              </w:rPr>
              <w:t xml:space="preserve"> 12.00</w:t>
            </w:r>
          </w:p>
        </w:tc>
      </w:tr>
      <w:tr w:rsidR="008F17A2" w:rsidRPr="00A24D29" w:rsidTr="00944B7B">
        <w:trPr>
          <w:trHeight w:val="599"/>
        </w:trPr>
        <w:tc>
          <w:tcPr>
            <w:tcW w:w="3686" w:type="dxa"/>
          </w:tcPr>
          <w:p w:rsidR="008F17A2" w:rsidRPr="00A24D29" w:rsidRDefault="008F17A2" w:rsidP="00A24D29">
            <w:pPr>
              <w:spacing w:after="0" w:line="240" w:lineRule="auto"/>
              <w:rPr>
                <w:rFonts w:ascii="Times New Roman" w:hAnsi="Times New Roman"/>
                <w:b/>
                <w:sz w:val="24"/>
                <w:szCs w:val="24"/>
                <w:lang w:eastAsia="en-US"/>
              </w:rPr>
            </w:pPr>
            <w:r w:rsidRPr="00A24D29">
              <w:rPr>
                <w:rFonts w:ascii="Times New Roman" w:hAnsi="Times New Roman"/>
                <w:b/>
                <w:sz w:val="24"/>
                <w:szCs w:val="24"/>
                <w:lang w:eastAsia="en-US"/>
              </w:rPr>
              <w:t>Наименование мероприятия:</w:t>
            </w:r>
          </w:p>
        </w:tc>
        <w:tc>
          <w:tcPr>
            <w:tcW w:w="6662" w:type="dxa"/>
          </w:tcPr>
          <w:p w:rsidR="008F17A2" w:rsidRPr="00A24D29" w:rsidRDefault="008F17A2" w:rsidP="00A24D29">
            <w:pPr>
              <w:spacing w:after="0" w:line="240" w:lineRule="auto"/>
              <w:rPr>
                <w:rFonts w:ascii="Times New Roman" w:hAnsi="Times New Roman"/>
                <w:b/>
                <w:sz w:val="24"/>
                <w:szCs w:val="24"/>
                <w:lang w:eastAsia="en-US"/>
              </w:rPr>
            </w:pPr>
            <w:r w:rsidRPr="00A24D29">
              <w:rPr>
                <w:rFonts w:ascii="Times New Roman" w:hAnsi="Times New Roman"/>
                <w:b/>
                <w:sz w:val="24"/>
                <w:szCs w:val="24"/>
                <w:lang w:eastAsia="en-US"/>
              </w:rPr>
              <w:t>Заседание коллегии Министерства труда, занятости и социальной защиты Республики Татарстан «Об итогах работы Министерства труда, занятости и социальной защиты Республики Татарстан в 2012 году и задачах на 2013 год»</w:t>
            </w:r>
          </w:p>
        </w:tc>
      </w:tr>
    </w:tbl>
    <w:p w:rsidR="008F17A2" w:rsidRPr="00A24D29" w:rsidRDefault="008F17A2" w:rsidP="00A24D29">
      <w:pPr>
        <w:spacing w:after="0" w:line="240" w:lineRule="auto"/>
        <w:rPr>
          <w:rFonts w:ascii="Times New Roman" w:hAnsi="Times New Roman"/>
          <w:sz w:val="24"/>
          <w:szCs w:val="24"/>
        </w:rPr>
      </w:pPr>
    </w:p>
    <w:p w:rsidR="008F17A2" w:rsidRPr="00A24D29" w:rsidRDefault="008F17A2" w:rsidP="00A24D29">
      <w:pPr>
        <w:spacing w:after="0" w:line="240" w:lineRule="auto"/>
        <w:jc w:val="both"/>
        <w:rPr>
          <w:rFonts w:ascii="Times New Roman" w:hAnsi="Times New Roman"/>
          <w:b/>
          <w:sz w:val="24"/>
          <w:szCs w:val="24"/>
          <w:lang w:eastAsia="en-US"/>
        </w:rPr>
      </w:pPr>
      <w:r w:rsidRPr="00A24D29">
        <w:rPr>
          <w:rFonts w:ascii="Times New Roman" w:hAnsi="Times New Roman"/>
          <w:sz w:val="24"/>
          <w:szCs w:val="24"/>
        </w:rPr>
        <w:tab/>
      </w:r>
    </w:p>
    <w:p w:rsidR="008F17A2" w:rsidRPr="00A24D29" w:rsidRDefault="008F17A2" w:rsidP="00A24D29">
      <w:pPr>
        <w:spacing w:after="0" w:line="240" w:lineRule="auto"/>
        <w:jc w:val="both"/>
        <w:rPr>
          <w:rFonts w:ascii="Times New Roman" w:hAnsi="Times New Roman"/>
          <w:b/>
          <w:sz w:val="24"/>
          <w:szCs w:val="24"/>
          <w:lang w:eastAsia="en-US"/>
        </w:rPr>
      </w:pPr>
    </w:p>
    <w:p w:rsidR="008F17A2" w:rsidRPr="00A24D29" w:rsidRDefault="008F17A2" w:rsidP="00A24D29">
      <w:pPr>
        <w:spacing w:after="0" w:line="240" w:lineRule="auto"/>
        <w:ind w:firstLine="708"/>
        <w:jc w:val="both"/>
        <w:rPr>
          <w:rFonts w:ascii="Times New Roman" w:hAnsi="Times New Roman"/>
          <w:sz w:val="24"/>
          <w:szCs w:val="24"/>
        </w:rPr>
      </w:pPr>
      <w:r w:rsidRPr="00A24D29">
        <w:rPr>
          <w:rFonts w:ascii="Times New Roman" w:hAnsi="Times New Roman"/>
          <w:sz w:val="24"/>
          <w:szCs w:val="24"/>
        </w:rPr>
        <w:t>30 января состоится заседание коллегии Министерства труда, занятости и социальной защиты Республики Татарстан «Об итогах работы Министерства труда, занятости и социальной защиты Республики Татарстан в 2012 году и задачах на 2013 год».</w:t>
      </w:r>
    </w:p>
    <w:p w:rsidR="008F17A2" w:rsidRPr="00A24D29" w:rsidRDefault="008F17A2" w:rsidP="00A24D29">
      <w:pPr>
        <w:spacing w:after="0" w:line="240" w:lineRule="auto"/>
        <w:ind w:firstLine="708"/>
        <w:jc w:val="both"/>
        <w:rPr>
          <w:rFonts w:ascii="Times New Roman" w:hAnsi="Times New Roman"/>
          <w:sz w:val="24"/>
          <w:szCs w:val="24"/>
        </w:rPr>
      </w:pPr>
      <w:r w:rsidRPr="00A24D29">
        <w:rPr>
          <w:rFonts w:ascii="Times New Roman" w:hAnsi="Times New Roman"/>
          <w:sz w:val="24"/>
          <w:szCs w:val="24"/>
        </w:rPr>
        <w:t xml:space="preserve">Результаты деятельности будут подводиться по 4 основным направлениям: </w:t>
      </w:r>
      <w:r>
        <w:rPr>
          <w:rFonts w:ascii="Times New Roman" w:hAnsi="Times New Roman"/>
          <w:sz w:val="24"/>
          <w:szCs w:val="24"/>
        </w:rPr>
        <w:t>уровень жизни населения,</w:t>
      </w:r>
      <w:r w:rsidRPr="00A24D29">
        <w:rPr>
          <w:rFonts w:ascii="Times New Roman" w:hAnsi="Times New Roman"/>
          <w:sz w:val="24"/>
          <w:szCs w:val="24"/>
        </w:rPr>
        <w:t xml:space="preserve"> занятость</w:t>
      </w:r>
      <w:r>
        <w:rPr>
          <w:rFonts w:ascii="Times New Roman" w:hAnsi="Times New Roman"/>
          <w:sz w:val="24"/>
          <w:szCs w:val="24"/>
        </w:rPr>
        <w:t>,</w:t>
      </w:r>
      <w:r w:rsidRPr="00A24D29">
        <w:rPr>
          <w:rFonts w:ascii="Times New Roman" w:hAnsi="Times New Roman"/>
          <w:sz w:val="24"/>
          <w:szCs w:val="24"/>
        </w:rPr>
        <w:t xml:space="preserve"> </w:t>
      </w:r>
      <w:r>
        <w:rPr>
          <w:rFonts w:ascii="Times New Roman" w:hAnsi="Times New Roman"/>
          <w:sz w:val="24"/>
          <w:szCs w:val="24"/>
        </w:rPr>
        <w:t>профессиональное образование,</w:t>
      </w:r>
      <w:r w:rsidRPr="00A24D29">
        <w:rPr>
          <w:rFonts w:ascii="Times New Roman" w:hAnsi="Times New Roman"/>
          <w:sz w:val="24"/>
          <w:szCs w:val="24"/>
        </w:rPr>
        <w:t xml:space="preserve"> социальная поддержка населения.</w:t>
      </w:r>
    </w:p>
    <w:p w:rsidR="008F17A2" w:rsidRPr="00A24D29" w:rsidRDefault="004D18C9" w:rsidP="00A24D29">
      <w:pPr>
        <w:spacing w:after="0" w:line="240" w:lineRule="auto"/>
        <w:ind w:firstLine="708"/>
        <w:jc w:val="both"/>
        <w:rPr>
          <w:rFonts w:ascii="Times New Roman" w:hAnsi="Times New Roman"/>
          <w:sz w:val="24"/>
          <w:szCs w:val="24"/>
          <w:lang w:eastAsia="en-US"/>
        </w:rPr>
      </w:pPr>
      <w:r>
        <w:rPr>
          <w:rFonts w:ascii="Times New Roman" w:hAnsi="Times New Roman"/>
          <w:sz w:val="24"/>
          <w:szCs w:val="24"/>
          <w:lang w:eastAsia="en-US"/>
        </w:rPr>
        <w:t>В</w:t>
      </w:r>
      <w:r w:rsidR="003872E2">
        <w:rPr>
          <w:rFonts w:ascii="Times New Roman" w:hAnsi="Times New Roman"/>
          <w:sz w:val="24"/>
          <w:szCs w:val="24"/>
          <w:lang w:eastAsia="en-US"/>
        </w:rPr>
        <w:t xml:space="preserve"> мероприятии приму</w:t>
      </w:r>
      <w:r w:rsidR="008F17A2" w:rsidRPr="00A24D29">
        <w:rPr>
          <w:rFonts w:ascii="Times New Roman" w:hAnsi="Times New Roman"/>
          <w:sz w:val="24"/>
          <w:szCs w:val="24"/>
          <w:lang w:eastAsia="en-US"/>
        </w:rPr>
        <w:t>т участие Председатель Государственного Совета Респуб</w:t>
      </w:r>
      <w:r w:rsidR="003872E2">
        <w:rPr>
          <w:rFonts w:ascii="Times New Roman" w:hAnsi="Times New Roman"/>
          <w:sz w:val="24"/>
          <w:szCs w:val="24"/>
          <w:lang w:eastAsia="en-US"/>
        </w:rPr>
        <w:t xml:space="preserve">лики Татарстан Фарит </w:t>
      </w:r>
      <w:proofErr w:type="spellStart"/>
      <w:r w:rsidR="003872E2">
        <w:rPr>
          <w:rFonts w:ascii="Times New Roman" w:hAnsi="Times New Roman"/>
          <w:sz w:val="24"/>
          <w:szCs w:val="24"/>
          <w:lang w:eastAsia="en-US"/>
        </w:rPr>
        <w:t>Мухаметшин</w:t>
      </w:r>
      <w:proofErr w:type="spellEnd"/>
      <w:r w:rsidR="003872E2">
        <w:rPr>
          <w:rFonts w:ascii="Times New Roman" w:hAnsi="Times New Roman"/>
          <w:sz w:val="24"/>
          <w:szCs w:val="24"/>
          <w:lang w:eastAsia="en-US"/>
        </w:rPr>
        <w:t>,</w:t>
      </w:r>
      <w:r w:rsidR="003872E2" w:rsidRPr="003872E2">
        <w:t xml:space="preserve"> </w:t>
      </w:r>
      <w:r w:rsidR="003872E2">
        <w:rPr>
          <w:rFonts w:ascii="Times New Roman" w:hAnsi="Times New Roman"/>
          <w:sz w:val="24"/>
          <w:szCs w:val="24"/>
          <w:lang w:eastAsia="en-US"/>
        </w:rPr>
        <w:t>з</w:t>
      </w:r>
      <w:r w:rsidR="003872E2" w:rsidRPr="003872E2">
        <w:rPr>
          <w:rFonts w:ascii="Times New Roman" w:hAnsi="Times New Roman"/>
          <w:sz w:val="24"/>
          <w:szCs w:val="24"/>
          <w:lang w:eastAsia="en-US"/>
        </w:rPr>
        <w:t>аместитель Министра образования и науки Российской Федерации</w:t>
      </w:r>
      <w:r w:rsidR="003872E2">
        <w:rPr>
          <w:rFonts w:ascii="Times New Roman" w:hAnsi="Times New Roman"/>
          <w:sz w:val="24"/>
          <w:szCs w:val="24"/>
          <w:lang w:eastAsia="en-US"/>
        </w:rPr>
        <w:t xml:space="preserve"> </w:t>
      </w:r>
      <w:r w:rsidR="003872E2" w:rsidRPr="003872E2">
        <w:rPr>
          <w:rFonts w:ascii="Times New Roman" w:hAnsi="Times New Roman"/>
          <w:sz w:val="24"/>
          <w:szCs w:val="24"/>
          <w:lang w:eastAsia="en-US"/>
        </w:rPr>
        <w:t>Александр Климов</w:t>
      </w:r>
      <w:r w:rsidR="003872E2">
        <w:rPr>
          <w:rFonts w:ascii="Times New Roman" w:hAnsi="Times New Roman"/>
          <w:sz w:val="24"/>
          <w:szCs w:val="24"/>
          <w:lang w:eastAsia="en-US"/>
        </w:rPr>
        <w:t>.</w:t>
      </w:r>
    </w:p>
    <w:p w:rsidR="008F17A2" w:rsidRPr="00A24D29" w:rsidRDefault="008F17A2" w:rsidP="00A24D29">
      <w:pPr>
        <w:spacing w:after="0" w:line="240" w:lineRule="auto"/>
        <w:jc w:val="both"/>
        <w:rPr>
          <w:rFonts w:ascii="Times New Roman" w:hAnsi="Times New Roman"/>
          <w:sz w:val="24"/>
          <w:szCs w:val="24"/>
        </w:rPr>
      </w:pPr>
    </w:p>
    <w:p w:rsidR="008F17A2" w:rsidRDefault="008F17A2"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Default="00286000" w:rsidP="00A24D29">
      <w:pPr>
        <w:spacing w:after="0" w:line="240" w:lineRule="auto"/>
        <w:jc w:val="both"/>
        <w:rPr>
          <w:rFonts w:ascii="Times New Roman" w:hAnsi="Times New Roman"/>
          <w:sz w:val="24"/>
          <w:szCs w:val="24"/>
        </w:rPr>
      </w:pPr>
    </w:p>
    <w:p w:rsidR="00286000" w:rsidRPr="00A24D29" w:rsidRDefault="00286000" w:rsidP="00A24D29">
      <w:pPr>
        <w:spacing w:after="0" w:line="240" w:lineRule="auto"/>
        <w:jc w:val="both"/>
        <w:rPr>
          <w:rFonts w:ascii="Times New Roman" w:hAnsi="Times New Roman"/>
          <w:sz w:val="24"/>
          <w:szCs w:val="24"/>
        </w:rPr>
      </w:pPr>
    </w:p>
    <w:p w:rsidR="008F17A2" w:rsidRPr="00A24D29" w:rsidRDefault="008F17A2" w:rsidP="00A24D29">
      <w:pPr>
        <w:spacing w:after="0" w:line="240" w:lineRule="auto"/>
        <w:jc w:val="both"/>
        <w:rPr>
          <w:rFonts w:ascii="Times New Roman" w:hAnsi="Times New Roman"/>
          <w:sz w:val="24"/>
          <w:szCs w:val="24"/>
        </w:rPr>
      </w:pPr>
    </w:p>
    <w:p w:rsidR="00F73AE3" w:rsidRDefault="00F73AE3" w:rsidP="00A24D29">
      <w:pPr>
        <w:spacing w:after="0" w:line="240" w:lineRule="auto"/>
        <w:jc w:val="both"/>
        <w:rPr>
          <w:rFonts w:ascii="Times New Roman" w:hAnsi="Times New Roman"/>
          <w:sz w:val="24"/>
          <w:szCs w:val="24"/>
        </w:rPr>
      </w:pPr>
    </w:p>
    <w:p w:rsidR="008F17A2" w:rsidRPr="00A24D29" w:rsidRDefault="008F17A2" w:rsidP="00A24D29">
      <w:pPr>
        <w:spacing w:after="0" w:line="240" w:lineRule="auto"/>
        <w:jc w:val="both"/>
        <w:rPr>
          <w:rFonts w:ascii="Times New Roman" w:hAnsi="Times New Roman"/>
          <w:sz w:val="24"/>
          <w:szCs w:val="24"/>
        </w:rPr>
      </w:pPr>
      <w:r w:rsidRPr="00A24D29">
        <w:rPr>
          <w:rFonts w:ascii="Times New Roman" w:hAnsi="Times New Roman"/>
          <w:sz w:val="24"/>
          <w:szCs w:val="24"/>
        </w:rPr>
        <w:t>557-20-62</w:t>
      </w:r>
      <w:r w:rsidR="00F73AE3">
        <w:rPr>
          <w:rFonts w:ascii="Times New Roman" w:hAnsi="Times New Roman"/>
          <w:sz w:val="24"/>
          <w:szCs w:val="24"/>
        </w:rPr>
        <w:t>, 557-20-64, 89274-10-87-65</w:t>
      </w:r>
    </w:p>
    <w:p w:rsidR="008F17A2" w:rsidRPr="00A24D29" w:rsidRDefault="00F73AE3" w:rsidP="00A24D29">
      <w:pPr>
        <w:spacing w:after="0" w:line="240" w:lineRule="auto"/>
        <w:jc w:val="both"/>
        <w:rPr>
          <w:rFonts w:ascii="Times New Roman" w:hAnsi="Times New Roman"/>
          <w:sz w:val="24"/>
          <w:szCs w:val="24"/>
        </w:rPr>
      </w:pPr>
      <w:r>
        <w:rPr>
          <w:rFonts w:ascii="Times New Roman" w:hAnsi="Times New Roman"/>
          <w:sz w:val="24"/>
          <w:szCs w:val="24"/>
        </w:rPr>
        <w:t>Рафаил</w:t>
      </w:r>
      <w:r w:rsidR="008F17A2" w:rsidRPr="00A24D29">
        <w:rPr>
          <w:rFonts w:ascii="Times New Roman" w:hAnsi="Times New Roman"/>
          <w:sz w:val="24"/>
          <w:szCs w:val="24"/>
        </w:rPr>
        <w:t xml:space="preserve"> </w:t>
      </w:r>
      <w:proofErr w:type="spellStart"/>
      <w:r w:rsidR="008F17A2" w:rsidRPr="00A24D29">
        <w:rPr>
          <w:rFonts w:ascii="Times New Roman" w:hAnsi="Times New Roman"/>
          <w:sz w:val="24"/>
          <w:szCs w:val="24"/>
        </w:rPr>
        <w:t>Гиниятуллин</w:t>
      </w:r>
      <w:proofErr w:type="spellEnd"/>
    </w:p>
    <w:p w:rsidR="008F17A2" w:rsidRPr="00A24D29" w:rsidRDefault="008F17A2" w:rsidP="00A24D29">
      <w:pPr>
        <w:spacing w:after="0" w:line="240" w:lineRule="auto"/>
        <w:jc w:val="both"/>
        <w:rPr>
          <w:rFonts w:ascii="Times New Roman" w:hAnsi="Times New Roman"/>
          <w:sz w:val="24"/>
          <w:szCs w:val="24"/>
        </w:rPr>
      </w:pPr>
    </w:p>
    <w:tbl>
      <w:tblPr>
        <w:tblW w:w="10440" w:type="dxa"/>
        <w:tblInd w:w="-792" w:type="dxa"/>
        <w:tblLayout w:type="fixed"/>
        <w:tblLook w:val="01E0"/>
      </w:tblPr>
      <w:tblGrid>
        <w:gridCol w:w="10440"/>
      </w:tblGrid>
      <w:tr w:rsidR="008F17A2" w:rsidRPr="00A24D29" w:rsidTr="00611813">
        <w:trPr>
          <w:trHeight w:val="14734"/>
        </w:trPr>
        <w:tc>
          <w:tcPr>
            <w:tcW w:w="10440" w:type="dxa"/>
          </w:tcPr>
          <w:p w:rsidR="008F17A2" w:rsidRPr="00A24D29" w:rsidRDefault="008F17A2" w:rsidP="00A24D29">
            <w:pPr>
              <w:pStyle w:val="11"/>
              <w:numPr>
                <w:ilvl w:val="0"/>
                <w:numId w:val="2"/>
              </w:numPr>
              <w:jc w:val="center"/>
              <w:rPr>
                <w:rFonts w:ascii="Times New Roman" w:hAnsi="Times New Roman"/>
                <w:b/>
                <w:sz w:val="24"/>
                <w:szCs w:val="24"/>
              </w:rPr>
            </w:pPr>
            <w:r w:rsidRPr="00A24D29">
              <w:rPr>
                <w:rFonts w:ascii="Times New Roman" w:hAnsi="Times New Roman"/>
                <w:b/>
                <w:sz w:val="24"/>
                <w:szCs w:val="24"/>
              </w:rPr>
              <w:lastRenderedPageBreak/>
              <w:t xml:space="preserve">Уровень жизни населения </w:t>
            </w:r>
          </w:p>
          <w:p w:rsidR="008F17A2" w:rsidRPr="00A24D29" w:rsidRDefault="008F17A2" w:rsidP="00A24D29">
            <w:pPr>
              <w:pStyle w:val="11"/>
              <w:jc w:val="center"/>
              <w:rPr>
                <w:rFonts w:ascii="Times New Roman" w:hAnsi="Times New Roman"/>
                <w:b/>
                <w:sz w:val="24"/>
                <w:szCs w:val="24"/>
              </w:rPr>
            </w:pPr>
          </w:p>
          <w:p w:rsidR="008F17A2" w:rsidRPr="00A24D29" w:rsidRDefault="008F17A2" w:rsidP="00A24D29">
            <w:pPr>
              <w:pStyle w:val="11"/>
              <w:jc w:val="center"/>
              <w:rPr>
                <w:rFonts w:ascii="Times New Roman" w:hAnsi="Times New Roman"/>
                <w:b/>
                <w:bCs/>
                <w:sz w:val="24"/>
                <w:szCs w:val="24"/>
              </w:rPr>
            </w:pPr>
            <w:r w:rsidRPr="00A24D29">
              <w:rPr>
                <w:rFonts w:ascii="Times New Roman" w:hAnsi="Times New Roman"/>
                <w:b/>
                <w:bCs/>
                <w:sz w:val="24"/>
                <w:szCs w:val="24"/>
              </w:rPr>
              <w:t>Оплата труда</w:t>
            </w:r>
          </w:p>
          <w:p w:rsidR="008F17A2" w:rsidRPr="00A24D29" w:rsidRDefault="008F17A2" w:rsidP="00A24D29">
            <w:pPr>
              <w:pStyle w:val="11"/>
              <w:jc w:val="center"/>
              <w:rPr>
                <w:rFonts w:ascii="Times New Roman" w:hAnsi="Times New Roman"/>
                <w:bCs/>
                <w:sz w:val="24"/>
                <w:szCs w:val="24"/>
              </w:rPr>
            </w:pPr>
          </w:p>
          <w:p w:rsidR="008F17A2" w:rsidRPr="00A24D29" w:rsidRDefault="008F17A2" w:rsidP="00A24D29">
            <w:pPr>
              <w:pStyle w:val="11"/>
              <w:ind w:firstLine="459"/>
              <w:jc w:val="both"/>
              <w:rPr>
                <w:rFonts w:ascii="Times New Roman" w:hAnsi="Times New Roman"/>
                <w:bCs/>
                <w:sz w:val="24"/>
                <w:szCs w:val="24"/>
              </w:rPr>
            </w:pPr>
            <w:r w:rsidRPr="00A24D29">
              <w:rPr>
                <w:rFonts w:ascii="Times New Roman" w:hAnsi="Times New Roman"/>
                <w:bCs/>
                <w:sz w:val="24"/>
                <w:szCs w:val="24"/>
              </w:rPr>
              <w:t>Одним из наиболее важных показателей, обеспечивающих высокий уровень качества жизни, является рост доходов населения и, прежде всего, заработной платы работающих, которая является одним из основных источников доходов граждан.</w:t>
            </w:r>
          </w:p>
          <w:p w:rsidR="008F17A2" w:rsidRPr="00A24D29" w:rsidRDefault="008F17A2" w:rsidP="00A24D29">
            <w:pPr>
              <w:pStyle w:val="11"/>
              <w:jc w:val="both"/>
              <w:rPr>
                <w:rFonts w:ascii="Times New Roman" w:hAnsi="Times New Roman"/>
                <w:sz w:val="24"/>
                <w:szCs w:val="24"/>
              </w:rPr>
            </w:pPr>
            <w:r w:rsidRPr="00A24D29">
              <w:rPr>
                <w:rFonts w:ascii="Times New Roman" w:hAnsi="Times New Roman"/>
                <w:sz w:val="24"/>
                <w:szCs w:val="24"/>
              </w:rPr>
              <w:t xml:space="preserve">      В истекшем году благодаря принимаемым мерам   в республике наблюдалось увеличение темпов роста  заработной платы по сравнению с предыдущим годом. Так, за 11 месяцев 2012 года среднемесячная заработная плата возросла на 16,6% (в январе – ноябре 2011 года – на 14,9%) и составила 22447,7 рублей. Реальная заработная плата за этот же период увеличилась на 11,8% (за соответствующий период 2011 года – на 6,2%). При этом темпы роста как номинальной, так и реальной заработной платы в Республике Татарстан в 2012 году были выше, чем в среднем по Российской Федерации. Среди регионов Приволжского федерального округа Республика Татарстан по размеру заработной платы занимает лидирующее место. </w:t>
            </w:r>
          </w:p>
          <w:p w:rsidR="008F17A2" w:rsidRPr="00A24D29" w:rsidRDefault="008F17A2" w:rsidP="00A24D29">
            <w:pPr>
              <w:pStyle w:val="11"/>
              <w:jc w:val="both"/>
              <w:rPr>
                <w:rFonts w:ascii="Times New Roman" w:hAnsi="Times New Roman"/>
                <w:sz w:val="24"/>
                <w:szCs w:val="24"/>
              </w:rPr>
            </w:pPr>
          </w:p>
          <w:p w:rsidR="008F17A2" w:rsidRPr="00A24D29" w:rsidRDefault="00917EC2" w:rsidP="00A24D29">
            <w:pPr>
              <w:pStyle w:val="11"/>
              <w:jc w:val="both"/>
              <w:rPr>
                <w:rFonts w:ascii="Times New Roman" w:hAnsi="Times New Roman"/>
                <w:sz w:val="24"/>
                <w:szCs w:val="24"/>
              </w:rPr>
            </w:pPr>
            <w:r>
              <w:rPr>
                <w:rFonts w:ascii="Times New Roman" w:hAnsi="Times New Roman"/>
                <w:noProof/>
                <w:sz w:val="24"/>
                <w:szCs w:val="24"/>
              </w:rPr>
              <w:drawing>
                <wp:inline distT="0" distB="0" distL="0" distR="0">
                  <wp:extent cx="6046924" cy="4078415"/>
                  <wp:effectExtent l="11981" t="5905" r="6615" b="0"/>
                  <wp:docPr id="4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8F17A2" w:rsidRPr="00A24D29" w:rsidRDefault="008F17A2" w:rsidP="00A24D29">
            <w:pPr>
              <w:pStyle w:val="11"/>
              <w:jc w:val="both"/>
              <w:rPr>
                <w:rFonts w:ascii="Times New Roman" w:hAnsi="Times New Roman"/>
                <w:sz w:val="24"/>
                <w:szCs w:val="24"/>
              </w:rPr>
            </w:pPr>
          </w:p>
          <w:p w:rsidR="008F17A2" w:rsidRPr="00A24D29" w:rsidRDefault="008F17A2" w:rsidP="00A24D29">
            <w:pPr>
              <w:pStyle w:val="11"/>
              <w:ind w:firstLine="567"/>
              <w:jc w:val="both"/>
              <w:rPr>
                <w:rFonts w:ascii="Times New Roman" w:hAnsi="Times New Roman"/>
                <w:sz w:val="24"/>
                <w:szCs w:val="24"/>
                <w:lang w:eastAsia="en-US"/>
              </w:rPr>
            </w:pPr>
            <w:r w:rsidRPr="00A24D29">
              <w:rPr>
                <w:rFonts w:ascii="Times New Roman" w:hAnsi="Times New Roman"/>
                <w:sz w:val="24"/>
                <w:szCs w:val="24"/>
                <w:lang w:eastAsia="en-US"/>
              </w:rPr>
              <w:t xml:space="preserve">Особое </w:t>
            </w:r>
            <w:r w:rsidRPr="00A24D29">
              <w:rPr>
                <w:rFonts w:ascii="Times New Roman" w:hAnsi="Times New Roman"/>
                <w:sz w:val="24"/>
                <w:szCs w:val="24"/>
              </w:rPr>
              <w:t>внимание в республике уделяется вопросам повышения заработной платы  работников бюджетной сферы</w:t>
            </w:r>
            <w:r w:rsidRPr="00A24D29">
              <w:rPr>
                <w:rFonts w:ascii="Times New Roman" w:hAnsi="Times New Roman"/>
                <w:sz w:val="24"/>
                <w:szCs w:val="24"/>
                <w:lang w:eastAsia="en-US"/>
              </w:rPr>
              <w:t xml:space="preserve">.   </w:t>
            </w:r>
          </w:p>
          <w:p w:rsidR="008F17A2" w:rsidRPr="00A24D29" w:rsidRDefault="008F17A2" w:rsidP="00A24D29">
            <w:pPr>
              <w:pStyle w:val="ab"/>
              <w:suppressAutoHyphens/>
              <w:spacing w:after="0" w:line="240" w:lineRule="auto"/>
              <w:ind w:firstLine="567"/>
              <w:jc w:val="both"/>
              <w:rPr>
                <w:rFonts w:ascii="Times New Roman" w:hAnsi="Times New Roman"/>
                <w:sz w:val="24"/>
                <w:szCs w:val="24"/>
              </w:rPr>
            </w:pPr>
            <w:r w:rsidRPr="00A24D29">
              <w:rPr>
                <w:rFonts w:ascii="Times New Roman" w:hAnsi="Times New Roman"/>
                <w:sz w:val="24"/>
                <w:szCs w:val="24"/>
              </w:rPr>
              <w:t>Так, в 2012 году неоднократно принимались решения, направленные на  последовательное повышение ее уровня, в т.ч. путем поэтапного введения новых систем оплаты труда, устанавливающих зависимость размеров заработной платы от результатов и эффективности их труда. При переходе на новые системы оплаты труда фонд оплаты учреждений увеличивался в среднем на 16%, а минимальный базовый оклад и минимальная тарифная ставка устанавливались на уровне действующей  величины МРОТ (4611 руб.). С 1 июля 2012 года на новые системы заработной платы были переведены работники учреждений здравоохранения, с 1 августа – учреждений социального обслуживания, с 1 октября - учреждений культуры, молодежной политики, а также начального, среднего и высшего профессионального образования республики и др.</w:t>
            </w:r>
          </w:p>
          <w:p w:rsidR="008F17A2" w:rsidRPr="00A24D29" w:rsidRDefault="008F17A2" w:rsidP="00A24D29">
            <w:pPr>
              <w:pStyle w:val="11"/>
              <w:ind w:firstLine="567"/>
              <w:jc w:val="both"/>
              <w:rPr>
                <w:rFonts w:ascii="Times New Roman" w:hAnsi="Times New Roman"/>
                <w:sz w:val="24"/>
                <w:szCs w:val="24"/>
              </w:rPr>
            </w:pPr>
            <w:r w:rsidRPr="00A24D29">
              <w:rPr>
                <w:rFonts w:ascii="Times New Roman" w:hAnsi="Times New Roman"/>
                <w:sz w:val="24"/>
                <w:szCs w:val="24"/>
              </w:rPr>
              <w:lastRenderedPageBreak/>
              <w:t>Кроме того, с 1 октября 2012г. было осуществлено очередное повышение  заработной платы работников бюджетной сферы республики путем увеличения на 6% размеров тарифных ставок, надбавок и иных видов выплат.</w:t>
            </w:r>
          </w:p>
          <w:p w:rsidR="008F17A2" w:rsidRPr="00A24D29" w:rsidRDefault="008F17A2" w:rsidP="00A24D29">
            <w:pPr>
              <w:pStyle w:val="11"/>
              <w:ind w:firstLine="567"/>
              <w:jc w:val="both"/>
              <w:rPr>
                <w:rFonts w:ascii="Times New Roman" w:hAnsi="Times New Roman"/>
                <w:sz w:val="24"/>
                <w:szCs w:val="24"/>
              </w:rPr>
            </w:pPr>
            <w:r w:rsidRPr="00A24D29">
              <w:rPr>
                <w:rFonts w:ascii="Times New Roman" w:hAnsi="Times New Roman"/>
                <w:sz w:val="24"/>
                <w:szCs w:val="24"/>
              </w:rPr>
              <w:t>Также принимались решения, направленные  на повышение  заработной платы педагогических работников учреждений общего образования в соответствии с Указом Президента РФ от 7 мая 2012 года № 597 «О мероприятиях по реализации государственной социальной политики».</w:t>
            </w:r>
          </w:p>
          <w:p w:rsidR="008F17A2" w:rsidRPr="00A24D29" w:rsidRDefault="008F17A2" w:rsidP="00A24D29">
            <w:pPr>
              <w:pStyle w:val="11"/>
              <w:ind w:firstLine="567"/>
              <w:jc w:val="both"/>
              <w:rPr>
                <w:rFonts w:ascii="Times New Roman" w:hAnsi="Times New Roman"/>
                <w:spacing w:val="-1"/>
                <w:sz w:val="24"/>
                <w:szCs w:val="24"/>
              </w:rPr>
            </w:pPr>
            <w:r w:rsidRPr="00A24D29">
              <w:rPr>
                <w:rFonts w:ascii="Times New Roman" w:hAnsi="Times New Roman"/>
                <w:sz w:val="24"/>
                <w:szCs w:val="24"/>
              </w:rPr>
              <w:t xml:space="preserve">В результате реализации указанных </w:t>
            </w:r>
            <w:proofErr w:type="gramStart"/>
            <w:r w:rsidRPr="00A24D29">
              <w:rPr>
                <w:rFonts w:ascii="Times New Roman" w:hAnsi="Times New Roman"/>
                <w:sz w:val="24"/>
                <w:szCs w:val="24"/>
              </w:rPr>
              <w:t>мер</w:t>
            </w:r>
            <w:proofErr w:type="gramEnd"/>
            <w:r w:rsidRPr="00A24D29">
              <w:rPr>
                <w:rFonts w:ascii="Times New Roman" w:hAnsi="Times New Roman"/>
                <w:sz w:val="24"/>
                <w:szCs w:val="24"/>
              </w:rPr>
              <w:t xml:space="preserve">  среднемесячная заработная плата работников образования за январь-ноябрь 2012 года составила </w:t>
            </w:r>
            <w:r w:rsidRPr="00A24D29">
              <w:rPr>
                <w:rFonts w:ascii="Times New Roman" w:hAnsi="Times New Roman"/>
                <w:spacing w:val="-1"/>
                <w:sz w:val="24"/>
                <w:szCs w:val="24"/>
              </w:rPr>
              <w:t xml:space="preserve">15941,7 рублей, здравоохранения  и предоставления социальных услуг – 16292,4 рублей, а темп ее роста был выше по сравнению с общереспубликанским показателем (в образовании заработная плата выросла на 19,8%, в здравоохранении  и предоставлении социальных услуг – на 20,3%, в то время как в среднем по республике – на 16,6%). </w:t>
            </w:r>
          </w:p>
          <w:p w:rsidR="008F17A2" w:rsidRPr="00A24D29" w:rsidRDefault="008F17A2" w:rsidP="00A24D29">
            <w:pPr>
              <w:pStyle w:val="11"/>
              <w:jc w:val="both"/>
              <w:rPr>
                <w:rFonts w:ascii="Times New Roman" w:hAnsi="Times New Roman"/>
                <w:sz w:val="24"/>
                <w:szCs w:val="24"/>
              </w:rPr>
            </w:pPr>
          </w:p>
          <w:p w:rsidR="008F17A2" w:rsidRPr="00A24D29" w:rsidRDefault="00917EC2" w:rsidP="00A24D29">
            <w:pPr>
              <w:pStyle w:val="11"/>
              <w:jc w:val="both"/>
              <w:rPr>
                <w:rFonts w:ascii="Times New Roman" w:hAnsi="Times New Roman"/>
                <w:noProof/>
                <w:sz w:val="24"/>
                <w:szCs w:val="24"/>
              </w:rPr>
            </w:pPr>
            <w:r>
              <w:rPr>
                <w:rFonts w:ascii="Times New Roman" w:hAnsi="Times New Roman"/>
                <w:noProof/>
                <w:sz w:val="24"/>
                <w:szCs w:val="24"/>
              </w:rPr>
              <w:drawing>
                <wp:inline distT="0" distB="0" distL="0" distR="0">
                  <wp:extent cx="6156960" cy="3749040"/>
                  <wp:effectExtent l="0" t="0" r="0" b="0"/>
                  <wp:docPr id="2"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8F17A2" w:rsidRPr="00A24D29" w:rsidRDefault="008F17A2" w:rsidP="00A24D29">
            <w:pPr>
              <w:pStyle w:val="11"/>
              <w:jc w:val="both"/>
              <w:rPr>
                <w:rFonts w:ascii="Times New Roman" w:hAnsi="Times New Roman"/>
                <w:noProof/>
                <w:sz w:val="24"/>
                <w:szCs w:val="24"/>
              </w:rPr>
            </w:pPr>
          </w:p>
          <w:p w:rsidR="008F17A2" w:rsidRPr="00A24D29" w:rsidRDefault="008F17A2" w:rsidP="00A24D29">
            <w:pPr>
              <w:pStyle w:val="11"/>
              <w:jc w:val="both"/>
              <w:rPr>
                <w:rFonts w:ascii="Times New Roman" w:hAnsi="Times New Roman"/>
                <w:sz w:val="24"/>
                <w:szCs w:val="24"/>
              </w:rPr>
            </w:pPr>
            <w:r w:rsidRPr="00A24D29">
              <w:rPr>
                <w:rFonts w:ascii="Times New Roman" w:hAnsi="Times New Roman"/>
                <w:sz w:val="24"/>
                <w:szCs w:val="24"/>
              </w:rPr>
              <w:t xml:space="preserve">        Реальный уровень  заработной платы  характеризуется  не только ее размерами, но и своевременностью выплаты. В 2012 году была продолжена работа по обеспечению соблюдения трудовых прав работников в части своевременной и полной оплаты их труда. </w:t>
            </w:r>
            <w:proofErr w:type="gramStart"/>
            <w:r w:rsidRPr="00A24D29">
              <w:rPr>
                <w:rFonts w:ascii="Times New Roman" w:hAnsi="Times New Roman"/>
                <w:sz w:val="24"/>
                <w:szCs w:val="24"/>
              </w:rPr>
              <w:t>В целях обеспечения  соблюдения норм трудового законодательства Министерством труда, занятости и социальной защиты  РТ совместно с органами Прокуратуры РТ в течение года было организовано более 1000 проверок хозяйствующих  субъектов, в ходе которых выявлено  1365 фактов нарушений трудового законодательства,  в т.ч. выявлено 154  работодателя, не представляющих в органы статистики сведения о наличии задолженности по заработной плате.</w:t>
            </w:r>
            <w:proofErr w:type="gramEnd"/>
            <w:r w:rsidRPr="00A24D29">
              <w:rPr>
                <w:rFonts w:ascii="Times New Roman" w:hAnsi="Times New Roman"/>
                <w:sz w:val="24"/>
                <w:szCs w:val="24"/>
              </w:rPr>
              <w:t xml:space="preserve"> Выявленная сумма задолженности по заработной плате составила 205 млн</w:t>
            </w:r>
            <w:proofErr w:type="gramStart"/>
            <w:r w:rsidRPr="00A24D29">
              <w:rPr>
                <w:rFonts w:ascii="Times New Roman" w:hAnsi="Times New Roman"/>
                <w:sz w:val="24"/>
                <w:szCs w:val="24"/>
              </w:rPr>
              <w:t>.р</w:t>
            </w:r>
            <w:proofErr w:type="gramEnd"/>
            <w:r w:rsidRPr="00A24D29">
              <w:rPr>
                <w:rFonts w:ascii="Times New Roman" w:hAnsi="Times New Roman"/>
                <w:sz w:val="24"/>
                <w:szCs w:val="24"/>
              </w:rPr>
              <w:t>ублей.</w:t>
            </w:r>
          </w:p>
          <w:p w:rsidR="008F17A2" w:rsidRPr="00A24D29" w:rsidRDefault="008F17A2" w:rsidP="00A24D29">
            <w:pPr>
              <w:spacing w:after="0" w:line="240" w:lineRule="auto"/>
              <w:ind w:firstLine="567"/>
              <w:jc w:val="both"/>
              <w:rPr>
                <w:rFonts w:ascii="Times New Roman" w:hAnsi="Times New Roman"/>
                <w:sz w:val="24"/>
                <w:szCs w:val="24"/>
              </w:rPr>
            </w:pPr>
            <w:r w:rsidRPr="00A24D29">
              <w:rPr>
                <w:rFonts w:ascii="Times New Roman" w:hAnsi="Times New Roman"/>
                <w:sz w:val="24"/>
                <w:szCs w:val="24"/>
              </w:rPr>
              <w:t xml:space="preserve"> Деятельность по защите прав и гарантий граждан в сфере трудовых отношений осуществлялась  также в рамках Координационного совета  по оплате труда, доходам и уровню жизни населения при Республиканской трехсторонней комиссии по регулированию социально-трудовых отношений, на заседаниях которого  было рассмотрено </w:t>
            </w:r>
            <w:r w:rsidRPr="00A24D29">
              <w:rPr>
                <w:rFonts w:ascii="Times New Roman" w:hAnsi="Times New Roman"/>
                <w:color w:val="000000"/>
                <w:sz w:val="24"/>
                <w:szCs w:val="24"/>
              </w:rPr>
              <w:t xml:space="preserve">финансово-экономическое состояние 71 предприятия, имеющего долги по заработной плате.  </w:t>
            </w:r>
            <w:proofErr w:type="gramStart"/>
            <w:r w:rsidRPr="00A24D29">
              <w:rPr>
                <w:rFonts w:ascii="Times New Roman" w:hAnsi="Times New Roman"/>
                <w:sz w:val="24"/>
                <w:szCs w:val="24"/>
              </w:rPr>
              <w:t xml:space="preserve">По результатам рассмотрения материалы по 9 предприятиям были направлены в Прокуратуру РТ и Гострудинспекцию в РТ для принятия мер правового реагирования, </w:t>
            </w:r>
            <w:r w:rsidRPr="00A24D29">
              <w:rPr>
                <w:rFonts w:ascii="Times New Roman" w:hAnsi="Times New Roman"/>
                <w:color w:val="000000"/>
                <w:sz w:val="24"/>
                <w:szCs w:val="24"/>
              </w:rPr>
              <w:t xml:space="preserve">в том числе для решения вопроса о дисквалификации </w:t>
            </w:r>
            <w:r w:rsidRPr="00A24D29">
              <w:rPr>
                <w:rFonts w:ascii="Times New Roman" w:hAnsi="Times New Roman"/>
                <w:color w:val="000000"/>
                <w:sz w:val="24"/>
                <w:szCs w:val="24"/>
              </w:rPr>
              <w:lastRenderedPageBreak/>
              <w:t xml:space="preserve">руководителя, материалы </w:t>
            </w:r>
            <w:r w:rsidRPr="00A24D29">
              <w:rPr>
                <w:rFonts w:ascii="Times New Roman" w:hAnsi="Times New Roman"/>
                <w:sz w:val="24"/>
                <w:szCs w:val="24"/>
              </w:rPr>
              <w:t xml:space="preserve">по 8 предприятиям - в Управление Федеральной налоговой службы по РТ для рассмотрения вопроса об инициировании в отношении их процедуры несостоятельности. </w:t>
            </w:r>
            <w:proofErr w:type="gramEnd"/>
          </w:p>
          <w:p w:rsidR="008F17A2" w:rsidRPr="00A24D29" w:rsidRDefault="008F17A2" w:rsidP="00A24D29">
            <w:pPr>
              <w:pStyle w:val="11"/>
              <w:jc w:val="both"/>
              <w:rPr>
                <w:rFonts w:ascii="Times New Roman" w:hAnsi="Times New Roman"/>
                <w:sz w:val="24"/>
                <w:szCs w:val="24"/>
              </w:rPr>
            </w:pPr>
            <w:r w:rsidRPr="00A24D29">
              <w:rPr>
                <w:rFonts w:ascii="Times New Roman" w:hAnsi="Times New Roman"/>
                <w:sz w:val="24"/>
                <w:szCs w:val="24"/>
              </w:rPr>
              <w:t xml:space="preserve">      Благодаря принимаемым мерам суммарная задолженность по оплате труда в республике в течение  2012 года сократилась на 31,6%, количество предприятий-должников уменьшилось с 22 единиц до 14.</w:t>
            </w:r>
          </w:p>
          <w:p w:rsidR="008F17A2" w:rsidRPr="00A24D29" w:rsidRDefault="00917EC2" w:rsidP="00A24D29">
            <w:pPr>
              <w:pStyle w:val="11"/>
              <w:jc w:val="both"/>
              <w:rPr>
                <w:rFonts w:ascii="Times New Roman" w:hAnsi="Times New Roman"/>
                <w:sz w:val="24"/>
                <w:szCs w:val="24"/>
              </w:rPr>
            </w:pPr>
            <w:r>
              <w:rPr>
                <w:rFonts w:ascii="Times New Roman" w:hAnsi="Times New Roman"/>
                <w:noProof/>
                <w:sz w:val="24"/>
                <w:szCs w:val="24"/>
              </w:rPr>
              <w:drawing>
                <wp:inline distT="0" distB="0" distL="0" distR="0">
                  <wp:extent cx="6012180" cy="3489960"/>
                  <wp:effectExtent l="0" t="0" r="0"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F17A2" w:rsidRPr="00A24D29" w:rsidRDefault="008F17A2" w:rsidP="00A24D29">
            <w:pPr>
              <w:pStyle w:val="11"/>
              <w:jc w:val="both"/>
              <w:rPr>
                <w:rFonts w:ascii="Times New Roman" w:hAnsi="Times New Roman"/>
                <w:sz w:val="24"/>
                <w:szCs w:val="24"/>
              </w:rPr>
            </w:pPr>
            <w:r w:rsidRPr="00A24D29">
              <w:rPr>
                <w:rFonts w:ascii="Times New Roman" w:hAnsi="Times New Roman"/>
                <w:sz w:val="24"/>
                <w:szCs w:val="24"/>
              </w:rPr>
              <w:t xml:space="preserve">        </w:t>
            </w:r>
          </w:p>
          <w:p w:rsidR="008F17A2" w:rsidRPr="00A24D29" w:rsidRDefault="008F17A2" w:rsidP="00A24D29">
            <w:pPr>
              <w:pStyle w:val="11"/>
              <w:jc w:val="both"/>
              <w:rPr>
                <w:rFonts w:ascii="Times New Roman" w:hAnsi="Times New Roman"/>
                <w:sz w:val="24"/>
                <w:szCs w:val="24"/>
              </w:rPr>
            </w:pPr>
            <w:r w:rsidRPr="00A24D29">
              <w:rPr>
                <w:rFonts w:ascii="Times New Roman" w:hAnsi="Times New Roman"/>
                <w:sz w:val="24"/>
                <w:szCs w:val="24"/>
              </w:rPr>
              <w:t>По данным статистики по состоянию на 1 января 2013 года просроченная задолженность по  заработной  плате в республике составила 40,4 млн</w:t>
            </w:r>
            <w:proofErr w:type="gramStart"/>
            <w:r w:rsidRPr="00A24D29">
              <w:rPr>
                <w:rFonts w:ascii="Times New Roman" w:hAnsi="Times New Roman"/>
                <w:sz w:val="24"/>
                <w:szCs w:val="24"/>
              </w:rPr>
              <w:t>.р</w:t>
            </w:r>
            <w:proofErr w:type="gramEnd"/>
            <w:r w:rsidRPr="00A24D29">
              <w:rPr>
                <w:rFonts w:ascii="Times New Roman" w:hAnsi="Times New Roman"/>
                <w:sz w:val="24"/>
                <w:szCs w:val="24"/>
              </w:rPr>
              <w:t>ублей. Из указанной суммы 22,6 млн</w:t>
            </w:r>
            <w:proofErr w:type="gramStart"/>
            <w:r w:rsidRPr="00A24D29">
              <w:rPr>
                <w:rFonts w:ascii="Times New Roman" w:hAnsi="Times New Roman"/>
                <w:sz w:val="24"/>
                <w:szCs w:val="24"/>
              </w:rPr>
              <w:t>.р</w:t>
            </w:r>
            <w:proofErr w:type="gramEnd"/>
            <w:r w:rsidRPr="00A24D29">
              <w:rPr>
                <w:rFonts w:ascii="Times New Roman" w:hAnsi="Times New Roman"/>
                <w:sz w:val="24"/>
                <w:szCs w:val="24"/>
              </w:rPr>
              <w:t>уб. (55,9%)    составляют     долги     организаций, находящихся в конкурсном производстве.</w:t>
            </w:r>
          </w:p>
          <w:p w:rsidR="008F17A2" w:rsidRPr="00A24D29" w:rsidRDefault="008F17A2" w:rsidP="00A24D29">
            <w:pPr>
              <w:pStyle w:val="11"/>
              <w:jc w:val="both"/>
              <w:rPr>
                <w:rFonts w:ascii="Times New Roman" w:hAnsi="Times New Roman"/>
                <w:sz w:val="24"/>
                <w:szCs w:val="24"/>
              </w:rPr>
            </w:pPr>
          </w:p>
          <w:p w:rsidR="008F17A2" w:rsidRPr="00A24D29" w:rsidRDefault="008F17A2" w:rsidP="00A24D29">
            <w:pPr>
              <w:spacing w:after="0" w:line="240" w:lineRule="auto"/>
              <w:ind w:firstLine="567"/>
              <w:jc w:val="center"/>
              <w:rPr>
                <w:rFonts w:ascii="Times New Roman" w:hAnsi="Times New Roman"/>
                <w:b/>
                <w:sz w:val="24"/>
                <w:szCs w:val="24"/>
              </w:rPr>
            </w:pPr>
            <w:r w:rsidRPr="00A24D29">
              <w:rPr>
                <w:rFonts w:ascii="Times New Roman" w:hAnsi="Times New Roman"/>
                <w:b/>
                <w:sz w:val="24"/>
                <w:szCs w:val="24"/>
              </w:rPr>
              <w:t>Социальное партнерство в сфере труда</w:t>
            </w:r>
          </w:p>
          <w:p w:rsidR="008F17A2" w:rsidRPr="00A24D29" w:rsidRDefault="008F17A2" w:rsidP="00A24D29">
            <w:pPr>
              <w:spacing w:after="0" w:line="240" w:lineRule="auto"/>
              <w:ind w:firstLine="567"/>
              <w:jc w:val="both"/>
              <w:rPr>
                <w:rFonts w:ascii="Times New Roman" w:hAnsi="Times New Roman"/>
                <w:sz w:val="24"/>
                <w:szCs w:val="24"/>
              </w:rPr>
            </w:pPr>
            <w:r w:rsidRPr="00A24D29">
              <w:rPr>
                <w:rFonts w:ascii="Times New Roman" w:hAnsi="Times New Roman"/>
                <w:sz w:val="24"/>
                <w:szCs w:val="24"/>
              </w:rPr>
              <w:t>Наряду с мерами государственного регулирования немаловажную роль  в решении проблем в социально - трудовой сфере играет социальное партнерство. В Республике Татарстан развивается практика заключения соответствующих соглашений и коллективных договоров в рамках социального партнерства. Ежегодно заключаемое Республиканское соглашение между Федерацией профсоюзов Республики Татарстан, Координационным советом объединений работодателей Республики Татарстан и Кабинетом Министров Республики Татарстан о проведении социально-экономической политики и развитии социального партнерства предусматривает совместные обязательства сторон социального партнерства по доведению размера тарифной ставки работников 1 разряда до уровня не ниже прожиточного минимума трудоспособного населения. При этом для работодателей реального сектора поставлена задача доведения минимальной заработной платы до уровня минимального потребительского бюджета. Данные положения Республиканского соглашения реализовывались в 2012 году через отраслевые соглашения и коллективные договоры.</w:t>
            </w:r>
          </w:p>
          <w:p w:rsidR="008F17A2" w:rsidRPr="00A24D29" w:rsidRDefault="00917EC2" w:rsidP="00A24D29">
            <w:pPr>
              <w:spacing w:after="0" w:line="240" w:lineRule="auto"/>
              <w:ind w:firstLine="567"/>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573531" cy="2743200"/>
                  <wp:effectExtent l="6089" t="0" r="0" b="0"/>
                  <wp:docPr id="38" name="Рисунок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F17A2" w:rsidRPr="00A24D29" w:rsidRDefault="008F17A2" w:rsidP="00A24D29">
            <w:pPr>
              <w:spacing w:after="0" w:line="240" w:lineRule="auto"/>
              <w:ind w:firstLine="567"/>
              <w:jc w:val="both"/>
              <w:rPr>
                <w:rFonts w:ascii="Times New Roman" w:hAnsi="Times New Roman"/>
                <w:sz w:val="24"/>
                <w:szCs w:val="24"/>
              </w:rPr>
            </w:pPr>
            <w:r w:rsidRPr="00A24D29">
              <w:rPr>
                <w:rFonts w:ascii="Times New Roman" w:hAnsi="Times New Roman"/>
                <w:sz w:val="24"/>
                <w:szCs w:val="24"/>
              </w:rPr>
              <w:t>В 2012 году в республике действовало 166 соглашений, прошедших правовую экспертизу и уведомительную регистрацию в Министерстве, в том числе 24 отраслевых тарифных соглашения, заключенные на республиканском уровне; 100 отраслевых соглашений, заключенных на территориальном уровне (в муниципальных образованиях), и 41 территориальное соглашение.</w:t>
            </w:r>
          </w:p>
          <w:p w:rsidR="008F17A2" w:rsidRPr="00A24D29" w:rsidRDefault="008F17A2" w:rsidP="00A24D29">
            <w:pPr>
              <w:spacing w:after="0" w:line="240" w:lineRule="auto"/>
              <w:ind w:firstLine="567"/>
              <w:jc w:val="both"/>
              <w:rPr>
                <w:rFonts w:ascii="Times New Roman" w:hAnsi="Times New Roman"/>
                <w:sz w:val="24"/>
                <w:szCs w:val="24"/>
              </w:rPr>
            </w:pPr>
            <w:r w:rsidRPr="00A24D29">
              <w:rPr>
                <w:rFonts w:ascii="Times New Roman" w:hAnsi="Times New Roman"/>
                <w:sz w:val="24"/>
                <w:szCs w:val="24"/>
              </w:rPr>
              <w:t>По состоянию на 1 января 2013 года в организациях республики действовало свыше 6,6 тыс. коллективных договоров, прошедших уведомительную регистрацию в центрах занятости населения. Численность работников, охваченных действием коллективных договоров, составила около 900 тысяч человек. Наибольшее количество коллективных договоров (75 % от их общего количества) было заключено в организациях, относящихся к государственной и муниципальной формам собственности.</w:t>
            </w:r>
          </w:p>
          <w:p w:rsidR="008F17A2" w:rsidRPr="00A24D29" w:rsidRDefault="00917EC2" w:rsidP="00A24D29">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6110101" cy="3360420"/>
                  <wp:effectExtent l="6093" t="0" r="2666"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8F17A2" w:rsidRPr="00A24D29">
              <w:rPr>
                <w:rFonts w:ascii="Times New Roman" w:hAnsi="Times New Roman"/>
                <w:sz w:val="24"/>
                <w:szCs w:val="24"/>
              </w:rPr>
              <w:t xml:space="preserve"> </w:t>
            </w:r>
          </w:p>
          <w:p w:rsidR="008F17A2" w:rsidRPr="00A24D29" w:rsidRDefault="008F17A2" w:rsidP="00A24D29">
            <w:pPr>
              <w:spacing w:after="0" w:line="240" w:lineRule="auto"/>
              <w:ind w:firstLine="567"/>
              <w:jc w:val="both"/>
              <w:rPr>
                <w:rFonts w:ascii="Times New Roman" w:hAnsi="Times New Roman"/>
                <w:sz w:val="24"/>
                <w:szCs w:val="24"/>
              </w:rPr>
            </w:pPr>
            <w:r w:rsidRPr="00A24D29">
              <w:rPr>
                <w:rFonts w:ascii="Times New Roman" w:hAnsi="Times New Roman"/>
                <w:sz w:val="24"/>
                <w:szCs w:val="24"/>
              </w:rPr>
              <w:t>Функционирование системы социального партнерства оказывает позитивное влияние на развитие социально-трудовых отношений, способствует сохранению социальной стабильности в республике.</w:t>
            </w:r>
          </w:p>
        </w:tc>
      </w:tr>
    </w:tbl>
    <w:p w:rsidR="008F17A2" w:rsidRPr="00A24D29" w:rsidRDefault="008F17A2" w:rsidP="00A24D29">
      <w:pPr>
        <w:spacing w:after="0" w:line="240" w:lineRule="auto"/>
        <w:ind w:firstLine="709"/>
        <w:jc w:val="center"/>
        <w:rPr>
          <w:rFonts w:ascii="Times New Roman" w:hAnsi="Times New Roman"/>
          <w:b/>
          <w:color w:val="000000"/>
          <w:sz w:val="24"/>
          <w:szCs w:val="24"/>
        </w:rPr>
      </w:pPr>
      <w:r>
        <w:rPr>
          <w:rFonts w:ascii="Times New Roman" w:hAnsi="Times New Roman"/>
          <w:b/>
          <w:color w:val="000000"/>
          <w:sz w:val="24"/>
          <w:szCs w:val="24"/>
        </w:rPr>
        <w:lastRenderedPageBreak/>
        <w:t xml:space="preserve">2. </w:t>
      </w:r>
      <w:r w:rsidRPr="00A24D29">
        <w:rPr>
          <w:rFonts w:ascii="Times New Roman" w:hAnsi="Times New Roman"/>
          <w:b/>
          <w:color w:val="000000"/>
          <w:sz w:val="24"/>
          <w:szCs w:val="24"/>
        </w:rPr>
        <w:t>Занятость населения</w:t>
      </w:r>
    </w:p>
    <w:p w:rsidR="008F17A2" w:rsidRPr="00A24D29" w:rsidRDefault="008F17A2" w:rsidP="00A24D29">
      <w:pPr>
        <w:pStyle w:val="a6"/>
        <w:spacing w:after="0"/>
        <w:ind w:left="0" w:right="-5" w:firstLine="709"/>
        <w:jc w:val="center"/>
        <w:rPr>
          <w:b/>
        </w:rPr>
      </w:pPr>
      <w:r w:rsidRPr="00A24D29">
        <w:rPr>
          <w:b/>
        </w:rPr>
        <w:t>Ситуация на рынке труда Республики Татарстан</w:t>
      </w:r>
    </w:p>
    <w:p w:rsidR="008F17A2" w:rsidRPr="00A24D29" w:rsidRDefault="008F17A2" w:rsidP="00A24D29">
      <w:pPr>
        <w:pStyle w:val="a6"/>
        <w:spacing w:after="0"/>
        <w:ind w:left="0" w:right="-5" w:firstLine="709"/>
        <w:jc w:val="center"/>
        <w:rPr>
          <w:b/>
        </w:rPr>
      </w:pPr>
    </w:p>
    <w:p w:rsidR="008F17A2" w:rsidRPr="00A24D29" w:rsidRDefault="008F17A2" w:rsidP="00A24D29">
      <w:pPr>
        <w:pStyle w:val="ab"/>
        <w:spacing w:after="0" w:line="240" w:lineRule="auto"/>
        <w:ind w:firstLine="709"/>
        <w:jc w:val="both"/>
        <w:rPr>
          <w:rFonts w:ascii="Times New Roman" w:hAnsi="Times New Roman"/>
          <w:sz w:val="24"/>
          <w:szCs w:val="24"/>
        </w:rPr>
      </w:pPr>
      <w:r w:rsidRPr="00A24D29">
        <w:rPr>
          <w:rFonts w:ascii="Times New Roman" w:hAnsi="Times New Roman"/>
          <w:sz w:val="24"/>
          <w:szCs w:val="24"/>
        </w:rPr>
        <w:t>Общая численность населения Республики Татарстан на начало 2012 года составила 3,8 млн</w:t>
      </w:r>
      <w:proofErr w:type="gramStart"/>
      <w:r w:rsidRPr="00A24D29">
        <w:rPr>
          <w:rFonts w:ascii="Times New Roman" w:hAnsi="Times New Roman"/>
          <w:sz w:val="24"/>
          <w:szCs w:val="24"/>
        </w:rPr>
        <w:t>.ч</w:t>
      </w:r>
      <w:proofErr w:type="gramEnd"/>
      <w:r w:rsidRPr="00A24D29">
        <w:rPr>
          <w:rFonts w:ascii="Times New Roman" w:hAnsi="Times New Roman"/>
          <w:sz w:val="24"/>
          <w:szCs w:val="24"/>
        </w:rPr>
        <w:t xml:space="preserve">еловек, в том числе 2,3 млн. граждан - в трудоспособном возрасте. В демографической ситуации республики в январе-октябре 2012 г. сохранилась позитивная динамика. Естественный прирост населения составил 7522 человека.  Число </w:t>
      </w:r>
      <w:proofErr w:type="gramStart"/>
      <w:r w:rsidRPr="00A24D29">
        <w:rPr>
          <w:rFonts w:ascii="Times New Roman" w:hAnsi="Times New Roman"/>
          <w:sz w:val="24"/>
          <w:szCs w:val="24"/>
        </w:rPr>
        <w:t>мигрантов,  переселившихся в республику составило</w:t>
      </w:r>
      <w:proofErr w:type="gramEnd"/>
      <w:r w:rsidRPr="00A24D29">
        <w:rPr>
          <w:rFonts w:ascii="Times New Roman" w:hAnsi="Times New Roman"/>
          <w:sz w:val="24"/>
          <w:szCs w:val="24"/>
        </w:rPr>
        <w:t xml:space="preserve"> 29925 человек, из которых число внешних мигрантов – 7034 человека, в том числе 6565 человек ранее проживали в государствах ближнего зарубежья. Общее число граждан выбывших из республики составило 21785 человек. Миграционный прирост населения в Республике Татарстан составил 8140 человек. </w:t>
      </w:r>
    </w:p>
    <w:p w:rsidR="008F17A2" w:rsidRPr="00A24D29" w:rsidRDefault="008F17A2" w:rsidP="00A24D29">
      <w:pPr>
        <w:pStyle w:val="ab"/>
        <w:spacing w:after="0" w:line="240" w:lineRule="auto"/>
        <w:ind w:firstLine="709"/>
        <w:jc w:val="both"/>
        <w:rPr>
          <w:rFonts w:ascii="Times New Roman" w:hAnsi="Times New Roman"/>
          <w:sz w:val="24"/>
          <w:szCs w:val="24"/>
        </w:rPr>
      </w:pPr>
    </w:p>
    <w:p w:rsidR="008F17A2" w:rsidRPr="00A24D29" w:rsidRDefault="008F17A2" w:rsidP="00A24D29">
      <w:pPr>
        <w:pStyle w:val="ab"/>
        <w:spacing w:after="0" w:line="240" w:lineRule="auto"/>
        <w:ind w:firstLine="709"/>
        <w:jc w:val="center"/>
        <w:rPr>
          <w:rFonts w:ascii="Times New Roman" w:hAnsi="Times New Roman"/>
          <w:sz w:val="24"/>
          <w:szCs w:val="24"/>
        </w:rPr>
      </w:pPr>
      <w:r w:rsidRPr="00A24D29">
        <w:rPr>
          <w:rFonts w:ascii="Times New Roman" w:hAnsi="Times New Roman"/>
          <w:noProof/>
          <w:sz w:val="24"/>
          <w:szCs w:val="24"/>
        </w:rPr>
        <w:object w:dxaOrig="7182"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251.25pt" o:ole="">
            <v:imagedata r:id="rId10" o:title=""/>
          </v:shape>
          <o:OLEObject Type="Embed" ProgID="PowerPoint.Slide.12" ShapeID="_x0000_i1025" DrawAspect="Content" ObjectID="_1421131386" r:id="rId11"/>
        </w:object>
      </w:r>
    </w:p>
    <w:p w:rsidR="008F17A2" w:rsidRPr="00A24D29" w:rsidRDefault="008F17A2" w:rsidP="00A24D29">
      <w:pPr>
        <w:pStyle w:val="ab"/>
        <w:spacing w:after="0" w:line="240" w:lineRule="auto"/>
        <w:ind w:firstLine="709"/>
        <w:jc w:val="both"/>
        <w:rPr>
          <w:rFonts w:ascii="Times New Roman" w:hAnsi="Times New Roman"/>
          <w:sz w:val="24"/>
          <w:szCs w:val="24"/>
        </w:rPr>
      </w:pPr>
    </w:p>
    <w:p w:rsidR="008F17A2" w:rsidRPr="00A24D29" w:rsidRDefault="008F17A2" w:rsidP="00A24D29">
      <w:pPr>
        <w:pStyle w:val="ab"/>
        <w:spacing w:after="0" w:line="240" w:lineRule="auto"/>
        <w:ind w:firstLine="709"/>
        <w:jc w:val="both"/>
        <w:rPr>
          <w:rFonts w:ascii="Times New Roman" w:hAnsi="Times New Roman"/>
          <w:sz w:val="24"/>
          <w:szCs w:val="24"/>
        </w:rPr>
      </w:pPr>
      <w:r w:rsidRPr="00A24D29">
        <w:rPr>
          <w:rFonts w:ascii="Times New Roman" w:hAnsi="Times New Roman"/>
          <w:bCs/>
          <w:color w:val="000000"/>
          <w:sz w:val="24"/>
          <w:szCs w:val="24"/>
        </w:rPr>
        <w:t xml:space="preserve">В 2012 году на рынке труда Республики Татарстан сохранялась   стабильная ситуация.  </w:t>
      </w:r>
      <w:r w:rsidRPr="00A24D29">
        <w:rPr>
          <w:rFonts w:ascii="Times New Roman" w:hAnsi="Times New Roman"/>
          <w:sz w:val="24"/>
          <w:szCs w:val="24"/>
        </w:rPr>
        <w:t xml:space="preserve"> По данным </w:t>
      </w:r>
      <w:proofErr w:type="spellStart"/>
      <w:r w:rsidRPr="00A24D29">
        <w:rPr>
          <w:rFonts w:ascii="Times New Roman" w:hAnsi="Times New Roman"/>
          <w:sz w:val="24"/>
          <w:szCs w:val="24"/>
        </w:rPr>
        <w:t>Татарстанстата</w:t>
      </w:r>
      <w:proofErr w:type="spellEnd"/>
      <w:r w:rsidRPr="00A24D29">
        <w:rPr>
          <w:rFonts w:ascii="Times New Roman" w:hAnsi="Times New Roman"/>
          <w:sz w:val="24"/>
          <w:szCs w:val="24"/>
        </w:rPr>
        <w:t xml:space="preserve"> за  сентябрь- ноябрь 2012 года численность экономически активного населения составила</w:t>
      </w:r>
      <w:r w:rsidRPr="00A24D29">
        <w:rPr>
          <w:rFonts w:ascii="Times New Roman" w:hAnsi="Times New Roman"/>
          <w:bCs/>
          <w:i/>
          <w:iCs/>
          <w:sz w:val="24"/>
          <w:szCs w:val="24"/>
        </w:rPr>
        <w:t xml:space="preserve"> </w:t>
      </w:r>
      <w:r w:rsidRPr="00A24D29">
        <w:rPr>
          <w:rFonts w:ascii="Times New Roman" w:hAnsi="Times New Roman"/>
          <w:sz w:val="24"/>
          <w:szCs w:val="24"/>
        </w:rPr>
        <w:t xml:space="preserve">2092,2  тыс. человек  или 55% от общей численности населения республики. В общей численности экономически активного населения число граждан, занятых в экономике   составляет 2014,6  тыс. человек, число безработных, исчисленное по методологии Международной организации труда – 77,6 тыс. человек или 3,7% от численности экономически активного населения. </w:t>
      </w:r>
    </w:p>
    <w:p w:rsidR="008F17A2" w:rsidRPr="00A24D29" w:rsidRDefault="008F17A2" w:rsidP="00A24D29">
      <w:pPr>
        <w:pStyle w:val="ab"/>
        <w:spacing w:after="0" w:line="240" w:lineRule="auto"/>
        <w:ind w:firstLine="709"/>
        <w:jc w:val="both"/>
        <w:rPr>
          <w:rFonts w:ascii="Times New Roman" w:hAnsi="Times New Roman"/>
          <w:sz w:val="24"/>
          <w:szCs w:val="24"/>
        </w:rPr>
      </w:pPr>
    </w:p>
    <w:p w:rsidR="008F17A2" w:rsidRPr="00A24D29" w:rsidRDefault="008F17A2" w:rsidP="00A24D29">
      <w:pPr>
        <w:spacing w:after="0" w:line="240" w:lineRule="auto"/>
        <w:jc w:val="center"/>
        <w:rPr>
          <w:rFonts w:ascii="Times New Roman" w:hAnsi="Times New Roman"/>
          <w:noProof/>
          <w:sz w:val="24"/>
          <w:szCs w:val="24"/>
        </w:rPr>
      </w:pPr>
    </w:p>
    <w:p w:rsidR="008F17A2" w:rsidRPr="00A24D29" w:rsidRDefault="008F17A2" w:rsidP="00A24D29">
      <w:pPr>
        <w:spacing w:after="0" w:line="240" w:lineRule="auto"/>
        <w:jc w:val="center"/>
        <w:rPr>
          <w:rFonts w:ascii="Times New Roman" w:hAnsi="Times New Roman"/>
          <w:noProof/>
          <w:sz w:val="24"/>
          <w:szCs w:val="24"/>
        </w:rPr>
      </w:pPr>
      <w:r w:rsidRPr="00A24D29">
        <w:rPr>
          <w:rFonts w:ascii="Times New Roman" w:hAnsi="Times New Roman"/>
          <w:noProof/>
          <w:sz w:val="24"/>
          <w:szCs w:val="24"/>
        </w:rPr>
        <w:object w:dxaOrig="7193" w:dyaOrig="5409">
          <v:shape id="_x0000_i1026" type="#_x0000_t75" style="width:363pt;height:273pt" o:ole="">
            <v:imagedata r:id="rId12" o:title=""/>
          </v:shape>
          <o:OLEObject Type="Embed" ProgID="PowerPoint.Slide.12" ShapeID="_x0000_i1026" DrawAspect="Content" ObjectID="_1421131387" r:id="rId13"/>
        </w:object>
      </w:r>
    </w:p>
    <w:p w:rsidR="008F17A2" w:rsidRPr="00A24D29" w:rsidRDefault="008F17A2" w:rsidP="00A24D29">
      <w:pPr>
        <w:spacing w:after="0" w:line="240" w:lineRule="auto"/>
        <w:ind w:firstLine="567"/>
        <w:jc w:val="both"/>
        <w:rPr>
          <w:rFonts w:ascii="Times New Roman" w:hAnsi="Times New Roman"/>
          <w:sz w:val="24"/>
          <w:szCs w:val="24"/>
        </w:rPr>
      </w:pPr>
      <w:r w:rsidRPr="00A24D29">
        <w:rPr>
          <w:rFonts w:ascii="Times New Roman" w:hAnsi="Times New Roman"/>
          <w:sz w:val="24"/>
          <w:szCs w:val="24"/>
        </w:rPr>
        <w:t xml:space="preserve">По данным </w:t>
      </w:r>
      <w:proofErr w:type="spellStart"/>
      <w:r w:rsidRPr="00A24D29">
        <w:rPr>
          <w:rFonts w:ascii="Times New Roman" w:hAnsi="Times New Roman"/>
          <w:sz w:val="24"/>
          <w:szCs w:val="24"/>
        </w:rPr>
        <w:t>Татарстанстата</w:t>
      </w:r>
      <w:proofErr w:type="spellEnd"/>
      <w:r w:rsidRPr="00A24D29">
        <w:rPr>
          <w:rFonts w:ascii="Times New Roman" w:hAnsi="Times New Roman"/>
          <w:sz w:val="24"/>
          <w:szCs w:val="24"/>
        </w:rPr>
        <w:t xml:space="preserve"> на крупных и средних предприятиях Республики Татарстан  за 11 месяцев   2012 года принято на работу 165,1 тыс</w:t>
      </w:r>
      <w:proofErr w:type="gramStart"/>
      <w:r w:rsidRPr="00A24D29">
        <w:rPr>
          <w:rFonts w:ascii="Times New Roman" w:hAnsi="Times New Roman"/>
          <w:sz w:val="24"/>
          <w:szCs w:val="24"/>
        </w:rPr>
        <w:t>.ч</w:t>
      </w:r>
      <w:proofErr w:type="gramEnd"/>
      <w:r w:rsidRPr="00A24D29">
        <w:rPr>
          <w:rFonts w:ascii="Times New Roman" w:hAnsi="Times New Roman"/>
          <w:sz w:val="24"/>
          <w:szCs w:val="24"/>
        </w:rPr>
        <w:t xml:space="preserve">еловек, выбыло по различным причинам – 166,4  тыс.человек. Из общего числа выбывших  работников 2% составляют лица, уволившиеся  в связи с сокращением численности, 76,9% - граждане, уволившиеся по собственному желанию. </w:t>
      </w:r>
    </w:p>
    <w:p w:rsidR="008F17A2" w:rsidRPr="00A24D29" w:rsidRDefault="008F17A2" w:rsidP="00A24D29">
      <w:pPr>
        <w:spacing w:after="0" w:line="240" w:lineRule="auto"/>
        <w:jc w:val="both"/>
        <w:rPr>
          <w:rFonts w:ascii="Times New Roman" w:hAnsi="Times New Roman"/>
          <w:sz w:val="24"/>
          <w:szCs w:val="24"/>
        </w:rPr>
      </w:pPr>
      <w:r w:rsidRPr="00A24D29">
        <w:rPr>
          <w:rFonts w:ascii="Times New Roman" w:hAnsi="Times New Roman"/>
          <w:sz w:val="24"/>
          <w:szCs w:val="24"/>
        </w:rPr>
        <w:object w:dxaOrig="7157" w:dyaOrig="5382">
          <v:shape id="_x0000_i1027" type="#_x0000_t75" style="width:465pt;height:349.5pt" o:ole="">
            <v:imagedata r:id="rId14" o:title=""/>
          </v:shape>
          <o:OLEObject Type="Embed" ProgID="PowerPoint.Slide.12" ShapeID="_x0000_i1027" DrawAspect="Content" ObjectID="_1421131388" r:id="rId15"/>
        </w:object>
      </w:r>
    </w:p>
    <w:p w:rsidR="008F17A2" w:rsidRPr="00A24D29" w:rsidRDefault="008F17A2" w:rsidP="00A24D29">
      <w:pPr>
        <w:pStyle w:val="BodyText216"/>
        <w:ind w:right="-79" w:firstLine="567"/>
        <w:rPr>
          <w:color w:val="000000"/>
          <w:szCs w:val="24"/>
        </w:rPr>
      </w:pPr>
      <w:r w:rsidRPr="00A24D29">
        <w:rPr>
          <w:szCs w:val="24"/>
        </w:rPr>
        <w:t xml:space="preserve">По данным мониторинга, проводимого Министерством труда, занятости и </w:t>
      </w:r>
      <w:r w:rsidRPr="00A24D29">
        <w:rPr>
          <w:color w:val="000000"/>
          <w:szCs w:val="24"/>
        </w:rPr>
        <w:t xml:space="preserve">социальной защиты Республики Татарстан, численность работающих в режиме неполного </w:t>
      </w:r>
      <w:r w:rsidRPr="00A24D29">
        <w:rPr>
          <w:color w:val="000000"/>
          <w:szCs w:val="24"/>
        </w:rPr>
        <w:lastRenderedPageBreak/>
        <w:t xml:space="preserve">рабочего времени по состоянию на  9 января 2013 года составила 1,1 тыс. человек, численность работников, предполагаемых к увольнению - 11,7 тысяч  человек. </w:t>
      </w:r>
    </w:p>
    <w:p w:rsidR="008F17A2" w:rsidRPr="00A24D29" w:rsidRDefault="008F17A2" w:rsidP="00A24D29">
      <w:pPr>
        <w:spacing w:after="0" w:line="240" w:lineRule="auto"/>
        <w:ind w:firstLine="567"/>
        <w:jc w:val="both"/>
        <w:rPr>
          <w:rFonts w:ascii="Times New Roman" w:hAnsi="Times New Roman"/>
          <w:color w:val="000000"/>
          <w:sz w:val="24"/>
          <w:szCs w:val="24"/>
        </w:rPr>
      </w:pPr>
      <w:r w:rsidRPr="00A24D29">
        <w:rPr>
          <w:rFonts w:ascii="Times New Roman" w:hAnsi="Times New Roman"/>
          <w:color w:val="000000"/>
          <w:sz w:val="24"/>
          <w:szCs w:val="24"/>
        </w:rPr>
        <w:t xml:space="preserve">В течение 2012 года  в органы службы занятости обратилось по различным </w:t>
      </w:r>
      <w:r w:rsidRPr="00A24D29">
        <w:rPr>
          <w:rFonts w:ascii="Times New Roman" w:hAnsi="Times New Roman"/>
          <w:sz w:val="24"/>
          <w:szCs w:val="24"/>
        </w:rPr>
        <w:t>вопросам  212,7  тыс.</w:t>
      </w:r>
      <w:r w:rsidRPr="00A24D29">
        <w:rPr>
          <w:rFonts w:ascii="Times New Roman" w:hAnsi="Times New Roman"/>
          <w:color w:val="000000"/>
          <w:sz w:val="24"/>
          <w:szCs w:val="24"/>
        </w:rPr>
        <w:t xml:space="preserve"> чел., в том числе принято на учет в качестве ищущих работу  – 102,8 тыс. чел. По сравнению с 2011 годом число обратившихся снизилось на </w:t>
      </w:r>
      <w:r w:rsidRPr="00A24D29">
        <w:rPr>
          <w:rFonts w:ascii="Times New Roman" w:hAnsi="Times New Roman"/>
          <w:sz w:val="24"/>
          <w:szCs w:val="24"/>
        </w:rPr>
        <w:t>28,2%.</w:t>
      </w:r>
      <w:r w:rsidRPr="00A24D29">
        <w:rPr>
          <w:rFonts w:ascii="Times New Roman" w:hAnsi="Times New Roman"/>
          <w:color w:val="000000"/>
          <w:sz w:val="24"/>
          <w:szCs w:val="24"/>
        </w:rPr>
        <w:t xml:space="preserve">  Из общего числа обратившихся в службу занятости численность незанятых граждан составила 100,8 тыс</w:t>
      </w:r>
      <w:proofErr w:type="gramStart"/>
      <w:r w:rsidRPr="00A24D29">
        <w:rPr>
          <w:rFonts w:ascii="Times New Roman" w:hAnsi="Times New Roman"/>
          <w:color w:val="000000"/>
          <w:sz w:val="24"/>
          <w:szCs w:val="24"/>
        </w:rPr>
        <w:t>.ч</w:t>
      </w:r>
      <w:proofErr w:type="gramEnd"/>
      <w:r w:rsidRPr="00A24D29">
        <w:rPr>
          <w:rFonts w:ascii="Times New Roman" w:hAnsi="Times New Roman"/>
          <w:color w:val="000000"/>
          <w:sz w:val="24"/>
          <w:szCs w:val="24"/>
        </w:rPr>
        <w:t>еловек. В 2012 году трудоустроено 63,1 тыс. человек, из которых 32,8 тыс</w:t>
      </w:r>
      <w:proofErr w:type="gramStart"/>
      <w:r w:rsidRPr="00A24D29">
        <w:rPr>
          <w:rFonts w:ascii="Times New Roman" w:hAnsi="Times New Roman"/>
          <w:color w:val="000000"/>
          <w:sz w:val="24"/>
          <w:szCs w:val="24"/>
        </w:rPr>
        <w:t>.ч</w:t>
      </w:r>
      <w:proofErr w:type="gramEnd"/>
      <w:r w:rsidRPr="00A24D29">
        <w:rPr>
          <w:rFonts w:ascii="Times New Roman" w:hAnsi="Times New Roman"/>
          <w:color w:val="000000"/>
          <w:sz w:val="24"/>
          <w:szCs w:val="24"/>
        </w:rPr>
        <w:t>еловек (32,5%) - из числа  незанятых граждан, состоящих на учете.</w:t>
      </w:r>
    </w:p>
    <w:p w:rsidR="008F17A2" w:rsidRPr="00A24D29" w:rsidRDefault="008F17A2" w:rsidP="00A24D29">
      <w:pPr>
        <w:spacing w:after="0" w:line="240" w:lineRule="auto"/>
        <w:jc w:val="center"/>
        <w:rPr>
          <w:rFonts w:ascii="Times New Roman" w:hAnsi="Times New Roman"/>
          <w:color w:val="000000"/>
          <w:sz w:val="24"/>
          <w:szCs w:val="24"/>
        </w:rPr>
      </w:pPr>
      <w:r w:rsidRPr="00A24D29">
        <w:rPr>
          <w:rFonts w:ascii="Times New Roman" w:hAnsi="Times New Roman"/>
          <w:sz w:val="24"/>
          <w:szCs w:val="24"/>
        </w:rPr>
        <w:object w:dxaOrig="7184" w:dyaOrig="5401">
          <v:shape id="_x0000_i1028" type="#_x0000_t75" style="width:392.25pt;height:283.5pt" o:ole="">
            <v:imagedata r:id="rId16" o:title=""/>
          </v:shape>
          <o:OLEObject Type="Embed" ProgID="PowerPoint.Slide.12" ShapeID="_x0000_i1028" DrawAspect="Content" ObjectID="_1421131389" r:id="rId17"/>
        </w:object>
      </w:r>
    </w:p>
    <w:p w:rsidR="008F17A2" w:rsidRPr="00A24D29" w:rsidRDefault="008F17A2" w:rsidP="00A24D29">
      <w:pPr>
        <w:spacing w:after="0" w:line="240" w:lineRule="auto"/>
        <w:ind w:firstLine="567"/>
        <w:jc w:val="both"/>
        <w:rPr>
          <w:rFonts w:ascii="Times New Roman" w:hAnsi="Times New Roman"/>
          <w:sz w:val="24"/>
          <w:szCs w:val="24"/>
        </w:rPr>
      </w:pPr>
      <w:r w:rsidRPr="00A24D29">
        <w:rPr>
          <w:rFonts w:ascii="Times New Roman" w:hAnsi="Times New Roman"/>
          <w:color w:val="000000"/>
          <w:sz w:val="24"/>
          <w:szCs w:val="24"/>
        </w:rPr>
        <w:t>На 1 января   2013 года на учете в центрах занятости населения  зарегистрировано в качестве безработных 23,3 тыс. человек, у</w:t>
      </w:r>
      <w:r w:rsidRPr="00A24D29">
        <w:rPr>
          <w:rFonts w:ascii="Times New Roman" w:hAnsi="Times New Roman"/>
          <w:sz w:val="24"/>
          <w:szCs w:val="24"/>
        </w:rPr>
        <w:t>ровень регистрируемой безработицы составил  1,1% от численности экономически активного населения (на начало 2012 года – 1,4%).</w:t>
      </w:r>
    </w:p>
    <w:p w:rsidR="008F17A2" w:rsidRDefault="008F17A2" w:rsidP="00A24D29">
      <w:pPr>
        <w:spacing w:after="0" w:line="240" w:lineRule="auto"/>
        <w:jc w:val="both"/>
        <w:rPr>
          <w:rFonts w:ascii="Times New Roman" w:hAnsi="Times New Roman"/>
          <w:i/>
          <w:sz w:val="24"/>
          <w:szCs w:val="24"/>
        </w:rPr>
      </w:pPr>
      <w:r w:rsidRPr="00A24D29">
        <w:rPr>
          <w:rFonts w:ascii="Times New Roman" w:hAnsi="Times New Roman"/>
          <w:i/>
          <w:sz w:val="24"/>
          <w:szCs w:val="24"/>
        </w:rPr>
        <w:object w:dxaOrig="6857" w:dyaOrig="5123">
          <v:shape id="_x0000_i1029" type="#_x0000_t75" style="width:349.5pt;height:222.75pt" o:ole="">
            <v:imagedata r:id="rId18" o:title=""/>
          </v:shape>
          <o:OLEObject Type="Embed" ProgID="PowerPoint.Slide.12" ShapeID="_x0000_i1029" DrawAspect="Content" ObjectID="_1421131390" r:id="rId19"/>
        </w:object>
      </w:r>
      <w:r>
        <w:rPr>
          <w:rFonts w:ascii="Times New Roman" w:hAnsi="Times New Roman"/>
          <w:i/>
          <w:sz w:val="24"/>
          <w:szCs w:val="24"/>
        </w:rPr>
        <w:t>\</w:t>
      </w:r>
    </w:p>
    <w:p w:rsidR="008F17A2" w:rsidRPr="00A24D29" w:rsidRDefault="008F17A2" w:rsidP="00A24D29">
      <w:pPr>
        <w:spacing w:after="0" w:line="240" w:lineRule="auto"/>
        <w:jc w:val="both"/>
        <w:rPr>
          <w:rFonts w:ascii="Times New Roman" w:hAnsi="Times New Roman"/>
          <w:sz w:val="24"/>
          <w:szCs w:val="24"/>
        </w:rPr>
      </w:pPr>
      <w:r w:rsidRPr="00A24D29">
        <w:rPr>
          <w:rFonts w:ascii="Times New Roman" w:hAnsi="Times New Roman"/>
          <w:sz w:val="24"/>
          <w:szCs w:val="24"/>
        </w:rPr>
        <w:t>Уровень регистрируемой безработицы по  моногородам:</w:t>
      </w:r>
    </w:p>
    <w:p w:rsidR="008F17A2" w:rsidRPr="00A24D29" w:rsidRDefault="008F17A2" w:rsidP="00A24D29">
      <w:pPr>
        <w:spacing w:after="0" w:line="240" w:lineRule="auto"/>
        <w:jc w:val="both"/>
        <w:rPr>
          <w:rFonts w:ascii="Times New Roman" w:hAnsi="Times New Roman"/>
          <w:sz w:val="24"/>
          <w:szCs w:val="24"/>
        </w:rPr>
      </w:pPr>
      <w:r w:rsidRPr="00A24D29">
        <w:rPr>
          <w:rFonts w:ascii="Times New Roman" w:hAnsi="Times New Roman"/>
          <w:sz w:val="24"/>
          <w:szCs w:val="24"/>
        </w:rPr>
        <w:t>г. Зеленодольск - 4,2%;</w:t>
      </w:r>
    </w:p>
    <w:p w:rsidR="008F17A2" w:rsidRPr="00A24D29" w:rsidRDefault="008F17A2" w:rsidP="00A24D29">
      <w:pPr>
        <w:spacing w:after="0" w:line="240" w:lineRule="auto"/>
        <w:jc w:val="both"/>
        <w:rPr>
          <w:rFonts w:ascii="Times New Roman" w:hAnsi="Times New Roman"/>
          <w:sz w:val="24"/>
          <w:szCs w:val="24"/>
        </w:rPr>
      </w:pPr>
      <w:r w:rsidRPr="00A24D29">
        <w:rPr>
          <w:rFonts w:ascii="Times New Roman" w:hAnsi="Times New Roman"/>
          <w:sz w:val="24"/>
          <w:szCs w:val="24"/>
        </w:rPr>
        <w:t>г. Менделеевск – 3,35%;</w:t>
      </w:r>
    </w:p>
    <w:p w:rsidR="008F17A2" w:rsidRPr="00A24D29" w:rsidRDefault="008F17A2" w:rsidP="00A24D29">
      <w:pPr>
        <w:spacing w:after="0" w:line="240" w:lineRule="auto"/>
        <w:jc w:val="both"/>
        <w:rPr>
          <w:rFonts w:ascii="Times New Roman" w:hAnsi="Times New Roman"/>
          <w:sz w:val="24"/>
          <w:szCs w:val="24"/>
        </w:rPr>
      </w:pPr>
      <w:r w:rsidRPr="00A24D29">
        <w:rPr>
          <w:rFonts w:ascii="Times New Roman" w:hAnsi="Times New Roman"/>
          <w:sz w:val="24"/>
          <w:szCs w:val="24"/>
        </w:rPr>
        <w:t>г. Нижнекамск – 0,93%;</w:t>
      </w:r>
    </w:p>
    <w:p w:rsidR="008F17A2" w:rsidRPr="00A24D29" w:rsidRDefault="008F17A2" w:rsidP="00A24D29">
      <w:pPr>
        <w:spacing w:after="0" w:line="240" w:lineRule="auto"/>
        <w:jc w:val="both"/>
        <w:rPr>
          <w:rFonts w:ascii="Times New Roman" w:hAnsi="Times New Roman"/>
          <w:sz w:val="24"/>
          <w:szCs w:val="24"/>
        </w:rPr>
      </w:pPr>
      <w:proofErr w:type="spellStart"/>
      <w:r w:rsidRPr="00A24D29">
        <w:rPr>
          <w:rFonts w:ascii="Times New Roman" w:hAnsi="Times New Roman"/>
          <w:sz w:val="24"/>
          <w:szCs w:val="24"/>
        </w:rPr>
        <w:lastRenderedPageBreak/>
        <w:t>пгт</w:t>
      </w:r>
      <w:proofErr w:type="spellEnd"/>
      <w:r w:rsidRPr="00A24D29">
        <w:rPr>
          <w:rFonts w:ascii="Times New Roman" w:hAnsi="Times New Roman"/>
          <w:sz w:val="24"/>
          <w:szCs w:val="24"/>
        </w:rPr>
        <w:t xml:space="preserve"> Камские Поляны – 7,7%;</w:t>
      </w:r>
    </w:p>
    <w:p w:rsidR="008F17A2" w:rsidRPr="00A24D29" w:rsidRDefault="008F17A2" w:rsidP="00A24D29">
      <w:pPr>
        <w:spacing w:after="0" w:line="240" w:lineRule="auto"/>
        <w:jc w:val="both"/>
        <w:rPr>
          <w:rFonts w:ascii="Times New Roman" w:hAnsi="Times New Roman"/>
          <w:sz w:val="24"/>
          <w:szCs w:val="24"/>
        </w:rPr>
      </w:pPr>
      <w:r w:rsidRPr="00A24D29">
        <w:rPr>
          <w:rFonts w:ascii="Times New Roman" w:hAnsi="Times New Roman"/>
          <w:sz w:val="24"/>
          <w:szCs w:val="24"/>
        </w:rPr>
        <w:t>г. Набережные Челны – 1,11%;</w:t>
      </w:r>
    </w:p>
    <w:p w:rsidR="008F17A2" w:rsidRPr="00A24D29" w:rsidRDefault="008F17A2" w:rsidP="00A24D29">
      <w:pPr>
        <w:spacing w:after="0" w:line="240" w:lineRule="auto"/>
        <w:jc w:val="both"/>
        <w:rPr>
          <w:rFonts w:ascii="Times New Roman" w:hAnsi="Times New Roman"/>
          <w:sz w:val="24"/>
          <w:szCs w:val="24"/>
        </w:rPr>
      </w:pPr>
      <w:r w:rsidRPr="00A24D29">
        <w:rPr>
          <w:rFonts w:ascii="Times New Roman" w:hAnsi="Times New Roman"/>
          <w:sz w:val="24"/>
          <w:szCs w:val="24"/>
        </w:rPr>
        <w:t>г. Чистополь – 4,8%;</w:t>
      </w:r>
    </w:p>
    <w:p w:rsidR="008F17A2" w:rsidRPr="00A24D29" w:rsidRDefault="008F17A2" w:rsidP="00A24D29">
      <w:pPr>
        <w:spacing w:after="0" w:line="240" w:lineRule="auto"/>
        <w:jc w:val="both"/>
        <w:rPr>
          <w:rFonts w:ascii="Times New Roman" w:hAnsi="Times New Roman"/>
          <w:sz w:val="24"/>
          <w:szCs w:val="24"/>
        </w:rPr>
      </w:pPr>
      <w:r w:rsidRPr="00A24D29">
        <w:rPr>
          <w:rFonts w:ascii="Times New Roman" w:hAnsi="Times New Roman"/>
          <w:sz w:val="24"/>
          <w:szCs w:val="24"/>
        </w:rPr>
        <w:t>г. Елабуга – 2,2%.</w:t>
      </w:r>
    </w:p>
    <w:p w:rsidR="008F17A2" w:rsidRPr="00A24D29" w:rsidRDefault="008F17A2" w:rsidP="00A24D29">
      <w:pPr>
        <w:pStyle w:val="3"/>
        <w:spacing w:after="0"/>
        <w:ind w:left="0" w:firstLine="709"/>
        <w:jc w:val="both"/>
        <w:rPr>
          <w:rFonts w:ascii="Times New Roman" w:hAnsi="Times New Roman"/>
          <w:sz w:val="24"/>
          <w:szCs w:val="24"/>
        </w:rPr>
      </w:pPr>
      <w:r w:rsidRPr="00A24D29">
        <w:rPr>
          <w:rFonts w:ascii="Times New Roman" w:hAnsi="Times New Roman"/>
          <w:sz w:val="24"/>
          <w:szCs w:val="24"/>
        </w:rPr>
        <w:t xml:space="preserve">В территориальном разрезе уровень безработицы варьирует от 0,32% до 7,74 % . По-прежнему остается территориальная дифференциация по муниципальным районам.  Значение показателя выше </w:t>
      </w:r>
      <w:proofErr w:type="spellStart"/>
      <w:r w:rsidRPr="00A24D29">
        <w:rPr>
          <w:rFonts w:ascii="Times New Roman" w:hAnsi="Times New Roman"/>
          <w:sz w:val="24"/>
          <w:szCs w:val="24"/>
        </w:rPr>
        <w:t>среднереспубликанского</w:t>
      </w:r>
      <w:proofErr w:type="spellEnd"/>
      <w:r w:rsidRPr="00A24D29">
        <w:rPr>
          <w:rFonts w:ascii="Times New Roman" w:hAnsi="Times New Roman"/>
          <w:sz w:val="24"/>
          <w:szCs w:val="24"/>
        </w:rPr>
        <w:t xml:space="preserve"> наблюдалось в течение 2012 года в городах Чистополь, Азнакаево, соответственно 3,66% и 2,4% , а также в Менделеевском районе -2,3%, </w:t>
      </w:r>
      <w:proofErr w:type="spellStart"/>
      <w:r w:rsidRPr="00A24D29">
        <w:rPr>
          <w:rFonts w:ascii="Times New Roman" w:hAnsi="Times New Roman"/>
          <w:sz w:val="24"/>
          <w:szCs w:val="24"/>
        </w:rPr>
        <w:t>Тетюшском</w:t>
      </w:r>
      <w:proofErr w:type="spellEnd"/>
      <w:r w:rsidRPr="00A24D29">
        <w:rPr>
          <w:rFonts w:ascii="Times New Roman" w:hAnsi="Times New Roman"/>
          <w:sz w:val="24"/>
          <w:szCs w:val="24"/>
        </w:rPr>
        <w:t xml:space="preserve"> районе - 1,99%. </w:t>
      </w:r>
    </w:p>
    <w:p w:rsidR="008F17A2" w:rsidRPr="00A24D29" w:rsidRDefault="008F17A2" w:rsidP="00A24D29">
      <w:pPr>
        <w:widowControl w:val="0"/>
        <w:spacing w:after="0" w:line="240" w:lineRule="auto"/>
        <w:ind w:firstLine="709"/>
        <w:jc w:val="both"/>
        <w:rPr>
          <w:rFonts w:ascii="Times New Roman" w:hAnsi="Times New Roman"/>
          <w:color w:val="000000"/>
          <w:sz w:val="24"/>
          <w:szCs w:val="24"/>
        </w:rPr>
      </w:pPr>
      <w:r w:rsidRPr="00A24D29">
        <w:rPr>
          <w:rFonts w:ascii="Times New Roman" w:hAnsi="Times New Roman"/>
          <w:sz w:val="24"/>
          <w:szCs w:val="24"/>
        </w:rPr>
        <w:t xml:space="preserve">Заявленное работодателями число вакансий по сравнению с началом года увеличилось на 6,9 тыс. единиц и на 1 января 2013  составило 28,7 тыс. единиц. </w:t>
      </w:r>
      <w:r w:rsidRPr="00A24D29">
        <w:rPr>
          <w:rFonts w:ascii="Times New Roman" w:hAnsi="Times New Roman"/>
          <w:color w:val="000000"/>
          <w:sz w:val="24"/>
          <w:szCs w:val="24"/>
        </w:rPr>
        <w:t>Из общего числа вакансий, заявленных работодателями, 74,9% - рабочие специальности. Предлагаемая заработная плата рабочих варьирует от 4,6 тыс</w:t>
      </w:r>
      <w:proofErr w:type="gramStart"/>
      <w:r w:rsidRPr="00A24D29">
        <w:rPr>
          <w:rFonts w:ascii="Times New Roman" w:hAnsi="Times New Roman"/>
          <w:color w:val="000000"/>
          <w:sz w:val="24"/>
          <w:szCs w:val="24"/>
        </w:rPr>
        <w:t>.р</w:t>
      </w:r>
      <w:proofErr w:type="gramEnd"/>
      <w:r w:rsidRPr="00A24D29">
        <w:rPr>
          <w:rFonts w:ascii="Times New Roman" w:hAnsi="Times New Roman"/>
          <w:color w:val="000000"/>
          <w:sz w:val="24"/>
          <w:szCs w:val="24"/>
        </w:rPr>
        <w:t>ублей до 57,7 тыс.рублей.</w:t>
      </w:r>
    </w:p>
    <w:p w:rsidR="008F17A2" w:rsidRPr="00A24D29" w:rsidRDefault="008F17A2" w:rsidP="00A24D29">
      <w:pPr>
        <w:widowControl w:val="0"/>
        <w:spacing w:after="0" w:line="240" w:lineRule="auto"/>
        <w:ind w:firstLine="709"/>
        <w:jc w:val="both"/>
        <w:rPr>
          <w:rFonts w:ascii="Times New Roman" w:hAnsi="Times New Roman"/>
          <w:color w:val="000000"/>
          <w:sz w:val="24"/>
          <w:szCs w:val="24"/>
        </w:rPr>
      </w:pPr>
      <w:r w:rsidRPr="00A24D29">
        <w:rPr>
          <w:rFonts w:ascii="Times New Roman" w:hAnsi="Times New Roman"/>
          <w:sz w:val="24"/>
          <w:szCs w:val="24"/>
        </w:rPr>
        <w:object w:dxaOrig="2176" w:dyaOrig="1638">
          <v:shape id="_x0000_i1030" type="#_x0000_t75" style="width:405pt;height:258pt" o:ole="">
            <v:imagedata r:id="rId20" o:title=""/>
          </v:shape>
          <o:OLEObject Type="Embed" ProgID="PowerPoint.Slide.12" ShapeID="_x0000_i1030" DrawAspect="Content" ObjectID="_1421131391" r:id="rId21"/>
        </w:object>
      </w:r>
    </w:p>
    <w:p w:rsidR="008F17A2" w:rsidRPr="00A24D29" w:rsidRDefault="008F17A2" w:rsidP="00A24D29">
      <w:pPr>
        <w:widowControl w:val="0"/>
        <w:spacing w:after="0" w:line="240" w:lineRule="auto"/>
        <w:ind w:firstLine="709"/>
        <w:jc w:val="both"/>
        <w:rPr>
          <w:rFonts w:ascii="Times New Roman" w:hAnsi="Times New Roman"/>
          <w:color w:val="000000"/>
          <w:sz w:val="24"/>
          <w:szCs w:val="24"/>
        </w:rPr>
      </w:pPr>
    </w:p>
    <w:p w:rsidR="008F17A2" w:rsidRPr="00A24D29" w:rsidRDefault="008F17A2" w:rsidP="00A24D29">
      <w:pPr>
        <w:widowControl w:val="0"/>
        <w:spacing w:after="0" w:line="240" w:lineRule="auto"/>
        <w:ind w:firstLine="709"/>
        <w:jc w:val="both"/>
        <w:rPr>
          <w:rFonts w:ascii="Times New Roman" w:hAnsi="Times New Roman"/>
          <w:color w:val="000000"/>
          <w:sz w:val="24"/>
          <w:szCs w:val="24"/>
        </w:rPr>
      </w:pPr>
      <w:r w:rsidRPr="00A24D29">
        <w:rPr>
          <w:rFonts w:ascii="Times New Roman" w:hAnsi="Times New Roman"/>
          <w:color w:val="000000"/>
          <w:sz w:val="24"/>
          <w:szCs w:val="24"/>
        </w:rPr>
        <w:t>Коэффициент напряженности на рынке труда на 1 января 2013 составил  года 0,8 человек/вакансию (на</w:t>
      </w:r>
      <w:proofErr w:type="gramStart"/>
      <w:r w:rsidRPr="00A24D29">
        <w:rPr>
          <w:rFonts w:ascii="Times New Roman" w:hAnsi="Times New Roman"/>
          <w:color w:val="000000"/>
          <w:sz w:val="24"/>
          <w:szCs w:val="24"/>
        </w:rPr>
        <w:t>1</w:t>
      </w:r>
      <w:proofErr w:type="gramEnd"/>
      <w:r w:rsidRPr="00A24D29">
        <w:rPr>
          <w:rFonts w:ascii="Times New Roman" w:hAnsi="Times New Roman"/>
          <w:color w:val="000000"/>
          <w:sz w:val="24"/>
          <w:szCs w:val="24"/>
        </w:rPr>
        <w:t xml:space="preserve"> января 2012 года - 1,31чел./</w:t>
      </w:r>
      <w:proofErr w:type="spellStart"/>
      <w:r w:rsidRPr="00A24D29">
        <w:rPr>
          <w:rFonts w:ascii="Times New Roman" w:hAnsi="Times New Roman"/>
          <w:color w:val="000000"/>
          <w:sz w:val="24"/>
          <w:szCs w:val="24"/>
        </w:rPr>
        <w:t>вак</w:t>
      </w:r>
      <w:proofErr w:type="spellEnd"/>
      <w:r w:rsidRPr="00A24D29">
        <w:rPr>
          <w:rFonts w:ascii="Times New Roman" w:hAnsi="Times New Roman"/>
          <w:color w:val="000000"/>
          <w:sz w:val="24"/>
          <w:szCs w:val="24"/>
        </w:rPr>
        <w:t>.).</w:t>
      </w:r>
    </w:p>
    <w:p w:rsidR="008F17A2" w:rsidRPr="00A24D29" w:rsidRDefault="008F17A2" w:rsidP="00A24D29">
      <w:pPr>
        <w:autoSpaceDE w:val="0"/>
        <w:autoSpaceDN w:val="0"/>
        <w:adjustRightInd w:val="0"/>
        <w:spacing w:after="0" w:line="240" w:lineRule="auto"/>
        <w:ind w:firstLine="709"/>
        <w:jc w:val="both"/>
        <w:rPr>
          <w:rFonts w:ascii="Times New Roman" w:hAnsi="Times New Roman"/>
          <w:bCs/>
          <w:sz w:val="24"/>
          <w:szCs w:val="24"/>
        </w:rPr>
      </w:pPr>
      <w:r w:rsidRPr="00A24D29">
        <w:rPr>
          <w:rFonts w:ascii="Times New Roman" w:hAnsi="Times New Roman"/>
          <w:color w:val="FF0000"/>
          <w:sz w:val="24"/>
          <w:szCs w:val="24"/>
        </w:rPr>
        <w:object w:dxaOrig="7182" w:dyaOrig="5402">
          <v:shape id="_x0000_i1031" type="#_x0000_t75" style="width:413.25pt;height:237.75pt" o:ole="">
            <v:imagedata r:id="rId22" o:title=""/>
          </v:shape>
          <o:OLEObject Type="Embed" ProgID="PowerPoint.Slide.12" ShapeID="_x0000_i1031" DrawAspect="Content" ObjectID="_1421131392" r:id="rId23"/>
        </w:object>
      </w:r>
      <w:r w:rsidRPr="00A24D29">
        <w:rPr>
          <w:rFonts w:ascii="Times New Roman" w:hAnsi="Times New Roman"/>
          <w:bCs/>
          <w:sz w:val="24"/>
          <w:szCs w:val="24"/>
        </w:rPr>
        <w:t xml:space="preserve"> </w:t>
      </w:r>
    </w:p>
    <w:p w:rsidR="008F17A2" w:rsidRPr="00A24D29" w:rsidRDefault="008F17A2" w:rsidP="00A24D29">
      <w:pPr>
        <w:autoSpaceDE w:val="0"/>
        <w:autoSpaceDN w:val="0"/>
        <w:adjustRightInd w:val="0"/>
        <w:spacing w:after="0" w:line="240" w:lineRule="auto"/>
        <w:ind w:firstLine="709"/>
        <w:jc w:val="both"/>
        <w:rPr>
          <w:rFonts w:ascii="Times New Roman" w:hAnsi="Times New Roman"/>
          <w:bCs/>
          <w:sz w:val="24"/>
          <w:szCs w:val="24"/>
        </w:rPr>
      </w:pPr>
      <w:r w:rsidRPr="00A24D29">
        <w:rPr>
          <w:rFonts w:ascii="Times New Roman" w:hAnsi="Times New Roman"/>
          <w:bCs/>
          <w:sz w:val="24"/>
          <w:szCs w:val="24"/>
        </w:rPr>
        <w:lastRenderedPageBreak/>
        <w:t xml:space="preserve">Превышение спроса над  предложением  характерна  для рынка труда всей  Российской Федерации и регионов Приволжского федерального округа. </w:t>
      </w:r>
    </w:p>
    <w:p w:rsidR="008F17A2" w:rsidRPr="00A24D29" w:rsidRDefault="00917EC2" w:rsidP="00A24D29">
      <w:pPr>
        <w:pStyle w:val="3"/>
        <w:spacing w:after="0"/>
        <w:ind w:firstLine="567"/>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7519920" cy="3902958"/>
            <wp:effectExtent l="12195" t="6102" r="4065" b="0"/>
            <wp:docPr id="13" name="Рисунок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F17A2" w:rsidRPr="00A24D29" w:rsidRDefault="008F17A2" w:rsidP="00A24D29">
      <w:pPr>
        <w:pStyle w:val="3"/>
        <w:spacing w:after="0"/>
        <w:ind w:firstLine="567"/>
        <w:jc w:val="center"/>
        <w:rPr>
          <w:rFonts w:ascii="Times New Roman" w:hAnsi="Times New Roman"/>
          <w:b/>
          <w:sz w:val="24"/>
          <w:szCs w:val="24"/>
        </w:rPr>
      </w:pPr>
      <w:r w:rsidRPr="00A24D29">
        <w:rPr>
          <w:rFonts w:ascii="Times New Roman" w:hAnsi="Times New Roman"/>
          <w:b/>
          <w:sz w:val="24"/>
          <w:szCs w:val="24"/>
        </w:rPr>
        <w:t>Социальный портрет безработного</w:t>
      </w:r>
    </w:p>
    <w:p w:rsidR="008F17A2" w:rsidRPr="00A24D29" w:rsidRDefault="008F17A2" w:rsidP="00A24D29">
      <w:pPr>
        <w:spacing w:after="0" w:line="240" w:lineRule="auto"/>
        <w:ind w:firstLine="709"/>
        <w:jc w:val="both"/>
        <w:rPr>
          <w:rFonts w:ascii="Times New Roman" w:hAnsi="Times New Roman"/>
          <w:sz w:val="24"/>
          <w:szCs w:val="24"/>
        </w:rPr>
      </w:pPr>
      <w:r w:rsidRPr="00A24D29">
        <w:rPr>
          <w:rFonts w:ascii="Times New Roman" w:hAnsi="Times New Roman"/>
          <w:sz w:val="24"/>
          <w:szCs w:val="24"/>
        </w:rPr>
        <w:t>В структуре безработных в 2012 году наблюдались следующие тенденции.</w:t>
      </w:r>
    </w:p>
    <w:p w:rsidR="008F17A2" w:rsidRPr="00A24D29" w:rsidRDefault="008F17A2" w:rsidP="00A24D29">
      <w:pPr>
        <w:spacing w:after="0" w:line="240" w:lineRule="auto"/>
        <w:ind w:firstLine="709"/>
        <w:jc w:val="both"/>
        <w:rPr>
          <w:rFonts w:ascii="Times New Roman" w:hAnsi="Times New Roman"/>
          <w:b/>
          <w:sz w:val="24"/>
          <w:szCs w:val="24"/>
        </w:rPr>
      </w:pPr>
      <w:r w:rsidRPr="00A24D29">
        <w:rPr>
          <w:rFonts w:ascii="Times New Roman" w:hAnsi="Times New Roman"/>
          <w:b/>
          <w:sz w:val="24"/>
          <w:szCs w:val="24"/>
        </w:rPr>
        <w:t>По месту проживания</w:t>
      </w:r>
    </w:p>
    <w:p w:rsidR="008F17A2" w:rsidRPr="00A24D29" w:rsidRDefault="008F17A2" w:rsidP="00A24D29">
      <w:pPr>
        <w:spacing w:after="0" w:line="240" w:lineRule="auto"/>
        <w:ind w:firstLine="709"/>
        <w:jc w:val="both"/>
        <w:rPr>
          <w:rFonts w:ascii="Times New Roman" w:hAnsi="Times New Roman"/>
          <w:sz w:val="24"/>
          <w:szCs w:val="24"/>
        </w:rPr>
      </w:pPr>
      <w:r w:rsidRPr="00A24D29">
        <w:rPr>
          <w:rFonts w:ascii="Times New Roman" w:hAnsi="Times New Roman"/>
          <w:sz w:val="24"/>
          <w:szCs w:val="24"/>
        </w:rPr>
        <w:t xml:space="preserve">В составе безработных увеличилась доля жителей сельской местности </w:t>
      </w:r>
      <w:proofErr w:type="gramStart"/>
      <w:r w:rsidRPr="00A24D29">
        <w:rPr>
          <w:rFonts w:ascii="Times New Roman" w:hAnsi="Times New Roman"/>
          <w:sz w:val="24"/>
          <w:szCs w:val="24"/>
        </w:rPr>
        <w:t xml:space="preserve">( </w:t>
      </w:r>
      <w:proofErr w:type="gramEnd"/>
      <w:r w:rsidRPr="00A24D29">
        <w:rPr>
          <w:rFonts w:ascii="Times New Roman" w:hAnsi="Times New Roman"/>
          <w:sz w:val="24"/>
          <w:szCs w:val="24"/>
        </w:rPr>
        <w:t xml:space="preserve">с 20% на начало года до 23% на конец года). </w:t>
      </w:r>
    </w:p>
    <w:p w:rsidR="008F17A2" w:rsidRPr="00A24D29" w:rsidRDefault="008F17A2" w:rsidP="00A24D29">
      <w:pPr>
        <w:spacing w:after="0" w:line="240" w:lineRule="auto"/>
        <w:ind w:firstLine="709"/>
        <w:jc w:val="both"/>
        <w:rPr>
          <w:rFonts w:ascii="Times New Roman" w:hAnsi="Times New Roman"/>
          <w:b/>
          <w:sz w:val="24"/>
          <w:szCs w:val="24"/>
        </w:rPr>
      </w:pPr>
      <w:r w:rsidRPr="00A24D29">
        <w:rPr>
          <w:rFonts w:ascii="Times New Roman" w:hAnsi="Times New Roman"/>
          <w:b/>
          <w:sz w:val="24"/>
          <w:szCs w:val="24"/>
        </w:rPr>
        <w:t>По обстоятельствам занятости</w:t>
      </w:r>
    </w:p>
    <w:p w:rsidR="008F17A2" w:rsidRPr="00A24D29" w:rsidRDefault="008F17A2" w:rsidP="00A24D29">
      <w:pPr>
        <w:spacing w:after="0" w:line="240" w:lineRule="auto"/>
        <w:ind w:firstLine="709"/>
        <w:jc w:val="both"/>
        <w:rPr>
          <w:rFonts w:ascii="Times New Roman" w:hAnsi="Times New Roman"/>
          <w:sz w:val="24"/>
          <w:szCs w:val="24"/>
        </w:rPr>
      </w:pPr>
      <w:r w:rsidRPr="00A24D29">
        <w:rPr>
          <w:rFonts w:ascii="Times New Roman" w:hAnsi="Times New Roman"/>
          <w:sz w:val="24"/>
          <w:szCs w:val="24"/>
        </w:rPr>
        <w:t xml:space="preserve">Увеличилась доля граждан, уволившихся по собственному желанию,  составив 62,6% (на начало года -49,5%), при снижении доли граждан, уволенных в связи с ликвидацией организации, которая составила 16,4%  (на начало года – 19,5%). </w:t>
      </w:r>
    </w:p>
    <w:p w:rsidR="008F17A2" w:rsidRPr="00A24D29" w:rsidRDefault="008F17A2" w:rsidP="00A24D29">
      <w:pPr>
        <w:spacing w:after="0" w:line="240" w:lineRule="auto"/>
        <w:ind w:firstLine="709"/>
        <w:jc w:val="both"/>
        <w:rPr>
          <w:rFonts w:ascii="Times New Roman" w:hAnsi="Times New Roman"/>
          <w:sz w:val="24"/>
          <w:szCs w:val="24"/>
        </w:rPr>
      </w:pPr>
      <w:r w:rsidRPr="00A24D29">
        <w:rPr>
          <w:rFonts w:ascii="Times New Roman" w:hAnsi="Times New Roman"/>
          <w:sz w:val="24"/>
          <w:szCs w:val="24"/>
        </w:rPr>
        <w:t xml:space="preserve">Среди безработных возросла доля граждан, впервые ищущих работу с 2,8% до 3,6%, доля граждан, стремящихся возобновить трудовую деятельность после длительного перерыва с 14% до 18,5%. </w:t>
      </w:r>
    </w:p>
    <w:p w:rsidR="008F17A2" w:rsidRPr="00A24D29" w:rsidRDefault="008F17A2" w:rsidP="00A24D29">
      <w:pPr>
        <w:spacing w:after="0" w:line="240" w:lineRule="auto"/>
        <w:ind w:firstLine="709"/>
        <w:jc w:val="both"/>
        <w:rPr>
          <w:rFonts w:ascii="Times New Roman" w:hAnsi="Times New Roman"/>
          <w:b/>
          <w:sz w:val="24"/>
          <w:szCs w:val="24"/>
        </w:rPr>
      </w:pPr>
      <w:r w:rsidRPr="00A24D29">
        <w:rPr>
          <w:rFonts w:ascii="Times New Roman" w:hAnsi="Times New Roman"/>
          <w:b/>
          <w:sz w:val="24"/>
          <w:szCs w:val="24"/>
        </w:rPr>
        <w:t>По полу и возрасту</w:t>
      </w:r>
    </w:p>
    <w:p w:rsidR="008F17A2" w:rsidRPr="00A24D29" w:rsidRDefault="008F17A2" w:rsidP="00A24D29">
      <w:pPr>
        <w:spacing w:after="0" w:line="240" w:lineRule="auto"/>
        <w:ind w:firstLine="709"/>
        <w:jc w:val="both"/>
        <w:rPr>
          <w:rFonts w:ascii="Times New Roman" w:hAnsi="Times New Roman"/>
          <w:sz w:val="24"/>
          <w:szCs w:val="24"/>
        </w:rPr>
      </w:pPr>
      <w:r w:rsidRPr="00A24D29">
        <w:rPr>
          <w:rFonts w:ascii="Times New Roman" w:hAnsi="Times New Roman"/>
          <w:sz w:val="24"/>
          <w:szCs w:val="24"/>
        </w:rPr>
        <w:t>В составе безработных в течение 2012 года преобладали женщины (61% - 64%). Снизилась к концу 2012 года доля  молодежи в возрасте 16-29 лет с 24,7% на  начало года  до 22,5%. Увеличилась доля граждан предпенсионного возраста с 8,7% на начало года до 11% на конец года.</w:t>
      </w:r>
    </w:p>
    <w:p w:rsidR="008F17A2" w:rsidRPr="00A24D29" w:rsidRDefault="008F17A2" w:rsidP="00A24D29">
      <w:pPr>
        <w:spacing w:after="0" w:line="240" w:lineRule="auto"/>
        <w:ind w:firstLine="709"/>
        <w:jc w:val="both"/>
        <w:rPr>
          <w:rFonts w:ascii="Times New Roman" w:hAnsi="Times New Roman"/>
          <w:b/>
          <w:sz w:val="24"/>
          <w:szCs w:val="24"/>
        </w:rPr>
      </w:pPr>
      <w:r w:rsidRPr="00A24D29">
        <w:rPr>
          <w:rFonts w:ascii="Times New Roman" w:hAnsi="Times New Roman"/>
          <w:b/>
          <w:sz w:val="24"/>
          <w:szCs w:val="24"/>
        </w:rPr>
        <w:t>По уровню образования</w:t>
      </w:r>
    </w:p>
    <w:p w:rsidR="008F17A2" w:rsidRPr="00A24D29" w:rsidRDefault="008F17A2" w:rsidP="00A24D29">
      <w:pPr>
        <w:spacing w:after="0" w:line="240" w:lineRule="auto"/>
        <w:ind w:firstLine="709"/>
        <w:jc w:val="both"/>
        <w:rPr>
          <w:rFonts w:ascii="Times New Roman" w:hAnsi="Times New Roman"/>
          <w:sz w:val="24"/>
          <w:szCs w:val="24"/>
        </w:rPr>
      </w:pPr>
      <w:r w:rsidRPr="00A24D29">
        <w:rPr>
          <w:rFonts w:ascii="Times New Roman" w:hAnsi="Times New Roman"/>
          <w:sz w:val="24"/>
          <w:szCs w:val="24"/>
        </w:rPr>
        <w:t xml:space="preserve">Доля безработных, имеющих высшее профессиональное образование, составила 26,3%, среднее профессиональное образование – 21,3%, начальное профессиональное образование – 19,1%. </w:t>
      </w:r>
    </w:p>
    <w:p w:rsidR="008F17A2" w:rsidRPr="00A24D29" w:rsidRDefault="008F17A2" w:rsidP="00A24D29">
      <w:pPr>
        <w:spacing w:after="0" w:line="240" w:lineRule="auto"/>
        <w:ind w:firstLine="709"/>
        <w:jc w:val="both"/>
        <w:rPr>
          <w:rFonts w:ascii="Times New Roman" w:hAnsi="Times New Roman"/>
          <w:sz w:val="24"/>
          <w:szCs w:val="24"/>
        </w:rPr>
      </w:pPr>
      <w:r w:rsidRPr="00A24D29">
        <w:rPr>
          <w:rFonts w:ascii="Times New Roman" w:hAnsi="Times New Roman"/>
          <w:sz w:val="24"/>
          <w:szCs w:val="24"/>
        </w:rPr>
        <w:t>Средняя продолжительность безработицы достигла 5,27 месяца на начало отчетного года,  продолжительность периода безработицы составляла 4,56 месяца.</w:t>
      </w:r>
    </w:p>
    <w:p w:rsidR="008F17A2" w:rsidRPr="00A24D29" w:rsidRDefault="008F17A2" w:rsidP="00A24D29">
      <w:pPr>
        <w:spacing w:after="0" w:line="240" w:lineRule="auto"/>
        <w:ind w:firstLine="709"/>
        <w:jc w:val="center"/>
        <w:rPr>
          <w:rFonts w:ascii="Times New Roman" w:hAnsi="Times New Roman"/>
          <w:b/>
          <w:sz w:val="24"/>
          <w:szCs w:val="24"/>
        </w:rPr>
      </w:pPr>
      <w:r w:rsidRPr="00A24D29">
        <w:rPr>
          <w:rFonts w:ascii="Times New Roman" w:hAnsi="Times New Roman"/>
          <w:b/>
          <w:sz w:val="24"/>
          <w:szCs w:val="24"/>
        </w:rPr>
        <w:t>Реализация  мер активной политики занятости</w:t>
      </w:r>
    </w:p>
    <w:p w:rsidR="008F17A2" w:rsidRPr="00A24D29" w:rsidRDefault="008F17A2" w:rsidP="00A24D29">
      <w:pPr>
        <w:autoSpaceDE w:val="0"/>
        <w:autoSpaceDN w:val="0"/>
        <w:adjustRightInd w:val="0"/>
        <w:spacing w:after="0" w:line="240" w:lineRule="auto"/>
        <w:ind w:firstLine="709"/>
        <w:jc w:val="both"/>
        <w:outlineLvl w:val="0"/>
        <w:rPr>
          <w:rFonts w:ascii="Times New Roman" w:hAnsi="Times New Roman"/>
          <w:sz w:val="24"/>
          <w:szCs w:val="24"/>
        </w:rPr>
      </w:pPr>
      <w:r w:rsidRPr="00A24D29">
        <w:rPr>
          <w:rFonts w:ascii="Times New Roman" w:hAnsi="Times New Roman"/>
          <w:sz w:val="24"/>
          <w:szCs w:val="24"/>
        </w:rPr>
        <w:t xml:space="preserve">С 2012 года ряд полномочий в области содействия занятости населения являются собственными полномочиями субъектов Российской Федерации, на которые предусмотрены ассигнования в региональном бюджете. Обязательства республики по </w:t>
      </w:r>
      <w:r w:rsidRPr="00A24D29">
        <w:rPr>
          <w:rFonts w:ascii="Times New Roman" w:hAnsi="Times New Roman"/>
          <w:sz w:val="24"/>
          <w:szCs w:val="24"/>
        </w:rPr>
        <w:lastRenderedPageBreak/>
        <w:t>сохранению объемов финансирования в сфере занятости в 2012 году были полностью выполнены.</w:t>
      </w:r>
    </w:p>
    <w:p w:rsidR="008F17A2" w:rsidRPr="00A24D29" w:rsidRDefault="008F17A2" w:rsidP="00A24D29">
      <w:pPr>
        <w:pStyle w:val="Default"/>
        <w:ind w:firstLine="709"/>
        <w:jc w:val="both"/>
        <w:rPr>
          <w:rFonts w:ascii="Times New Roman" w:hAnsi="Times New Roman" w:cs="Times New Roman"/>
        </w:rPr>
      </w:pPr>
      <w:r w:rsidRPr="00A24D29">
        <w:rPr>
          <w:rFonts w:ascii="Times New Roman" w:hAnsi="Times New Roman" w:cs="Times New Roman"/>
        </w:rPr>
        <w:t xml:space="preserve">Основные мероприятия в области содействия занятости были реализованы  в рамках Республиканской программы содействия занятости населения на 2011-2013 годы и Региональной программы, дополнительных мероприятий, направленных на снижение напряженности на рынке труда Республики Татарстан, на 2012 год.  В рамках </w:t>
      </w:r>
      <w:proofErr w:type="gramStart"/>
      <w:r w:rsidRPr="00A24D29">
        <w:rPr>
          <w:rFonts w:ascii="Times New Roman" w:hAnsi="Times New Roman" w:cs="Times New Roman"/>
        </w:rPr>
        <w:t>реализации Республиканской программы содействия занятости населения</w:t>
      </w:r>
      <w:proofErr w:type="gramEnd"/>
      <w:r w:rsidRPr="00A24D29">
        <w:rPr>
          <w:rFonts w:ascii="Times New Roman" w:hAnsi="Times New Roman" w:cs="Times New Roman"/>
        </w:rPr>
        <w:t xml:space="preserve"> в 2012 году различными программами было охвачено 99,2 % обратившихся в органы службы занятости, в том числе, непосредственно программами по трудоустройству - 49,3 тыс. человек или 48% от числа обратившихся за содействием в поиске подходящей работы (102,8 тыс. человек).</w:t>
      </w:r>
    </w:p>
    <w:p w:rsidR="008F17A2" w:rsidRPr="00A24D29" w:rsidRDefault="008F17A2" w:rsidP="00A24D29">
      <w:pPr>
        <w:spacing w:after="0" w:line="240" w:lineRule="auto"/>
        <w:jc w:val="center"/>
        <w:rPr>
          <w:rFonts w:ascii="Times New Roman" w:hAnsi="Times New Roman"/>
          <w:b/>
          <w:sz w:val="24"/>
          <w:szCs w:val="24"/>
        </w:rPr>
      </w:pPr>
      <w:r w:rsidRPr="00A24D29">
        <w:rPr>
          <w:rFonts w:ascii="Times New Roman" w:hAnsi="Times New Roman"/>
          <w:b/>
          <w:sz w:val="24"/>
          <w:szCs w:val="24"/>
        </w:rPr>
        <w:t xml:space="preserve">Реализация программ содействия занятости населения </w:t>
      </w:r>
    </w:p>
    <w:p w:rsidR="008F17A2" w:rsidRPr="00A24D29" w:rsidRDefault="008F17A2" w:rsidP="00A24D29">
      <w:pPr>
        <w:spacing w:after="0" w:line="240" w:lineRule="auto"/>
        <w:jc w:val="center"/>
        <w:rPr>
          <w:rFonts w:ascii="Times New Roman" w:hAnsi="Times New Roman"/>
          <w:b/>
          <w:sz w:val="24"/>
          <w:szCs w:val="24"/>
        </w:rPr>
      </w:pPr>
      <w:r w:rsidRPr="00A24D29">
        <w:rPr>
          <w:rFonts w:ascii="Times New Roman" w:hAnsi="Times New Roman"/>
          <w:b/>
          <w:sz w:val="24"/>
          <w:szCs w:val="24"/>
        </w:rPr>
        <w:t>за 2012 год</w:t>
      </w: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5"/>
        <w:gridCol w:w="1768"/>
        <w:gridCol w:w="1695"/>
        <w:gridCol w:w="2072"/>
      </w:tblGrid>
      <w:tr w:rsidR="008F17A2" w:rsidRPr="00A24D29" w:rsidTr="00A24D29">
        <w:tc>
          <w:tcPr>
            <w:tcW w:w="3935"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Мероприятие</w:t>
            </w:r>
          </w:p>
        </w:tc>
        <w:tc>
          <w:tcPr>
            <w:tcW w:w="1768" w:type="dxa"/>
          </w:tcPr>
          <w:p w:rsidR="008F17A2" w:rsidRPr="00A24D29" w:rsidRDefault="008F17A2" w:rsidP="00A24D29">
            <w:pPr>
              <w:spacing w:after="0" w:line="240" w:lineRule="auto"/>
              <w:rPr>
                <w:rFonts w:ascii="Times New Roman" w:hAnsi="Times New Roman"/>
              </w:rPr>
            </w:pPr>
            <w:r w:rsidRPr="00A24D29">
              <w:rPr>
                <w:rFonts w:ascii="Times New Roman" w:hAnsi="Times New Roman"/>
              </w:rPr>
              <w:t xml:space="preserve">Контрольные показатели по численности участников чел. </w:t>
            </w:r>
          </w:p>
        </w:tc>
        <w:tc>
          <w:tcPr>
            <w:tcW w:w="1695" w:type="dxa"/>
          </w:tcPr>
          <w:p w:rsidR="008F17A2" w:rsidRPr="00A24D29" w:rsidRDefault="008F17A2" w:rsidP="00A24D29">
            <w:pPr>
              <w:spacing w:after="0" w:line="240" w:lineRule="auto"/>
              <w:rPr>
                <w:rFonts w:ascii="Times New Roman" w:hAnsi="Times New Roman"/>
              </w:rPr>
            </w:pPr>
            <w:r w:rsidRPr="00A24D29">
              <w:rPr>
                <w:rFonts w:ascii="Times New Roman" w:hAnsi="Times New Roman"/>
              </w:rPr>
              <w:t>Фактическая численность участников, чел.</w:t>
            </w:r>
          </w:p>
        </w:tc>
        <w:tc>
          <w:tcPr>
            <w:tcW w:w="2072"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 выполнения контрольных показателей</w:t>
            </w:r>
          </w:p>
        </w:tc>
      </w:tr>
      <w:tr w:rsidR="008F17A2" w:rsidRPr="00A24D29" w:rsidTr="00A24D29">
        <w:tc>
          <w:tcPr>
            <w:tcW w:w="3935" w:type="dxa"/>
          </w:tcPr>
          <w:p w:rsidR="008F17A2" w:rsidRPr="00A24D29" w:rsidRDefault="008F17A2" w:rsidP="00A24D29">
            <w:pPr>
              <w:spacing w:after="0" w:line="240" w:lineRule="auto"/>
              <w:rPr>
                <w:rFonts w:ascii="Times New Roman" w:hAnsi="Times New Roman"/>
              </w:rPr>
            </w:pPr>
            <w:r w:rsidRPr="00A24D29">
              <w:rPr>
                <w:rFonts w:ascii="Times New Roman" w:hAnsi="Times New Roman"/>
              </w:rPr>
              <w:t xml:space="preserve">Оплачиваемые общественные работы </w:t>
            </w:r>
          </w:p>
        </w:tc>
        <w:tc>
          <w:tcPr>
            <w:tcW w:w="1768"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14811</w:t>
            </w:r>
          </w:p>
        </w:tc>
        <w:tc>
          <w:tcPr>
            <w:tcW w:w="1695"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15978</w:t>
            </w:r>
          </w:p>
        </w:tc>
        <w:tc>
          <w:tcPr>
            <w:tcW w:w="2072"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107,9</w:t>
            </w:r>
          </w:p>
        </w:tc>
      </w:tr>
      <w:tr w:rsidR="008F17A2" w:rsidRPr="00A24D29" w:rsidTr="00A24D29">
        <w:tc>
          <w:tcPr>
            <w:tcW w:w="3935" w:type="dxa"/>
          </w:tcPr>
          <w:p w:rsidR="008F17A2" w:rsidRPr="00A24D29" w:rsidRDefault="008F17A2" w:rsidP="00A24D29">
            <w:pPr>
              <w:spacing w:after="0" w:line="240" w:lineRule="auto"/>
              <w:rPr>
                <w:rFonts w:ascii="Times New Roman" w:hAnsi="Times New Roman"/>
              </w:rPr>
            </w:pPr>
            <w:r w:rsidRPr="00A24D29">
              <w:rPr>
                <w:rFonts w:ascii="Times New Roman" w:hAnsi="Times New Roman"/>
              </w:rPr>
              <w:t>Временное трудоустройство безработных граждан, испытывающих трудности в поиске работы</w:t>
            </w:r>
          </w:p>
        </w:tc>
        <w:tc>
          <w:tcPr>
            <w:tcW w:w="1768"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1101</w:t>
            </w:r>
          </w:p>
        </w:tc>
        <w:tc>
          <w:tcPr>
            <w:tcW w:w="1695"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1124</w:t>
            </w:r>
          </w:p>
        </w:tc>
        <w:tc>
          <w:tcPr>
            <w:tcW w:w="2072"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102,1</w:t>
            </w:r>
          </w:p>
        </w:tc>
      </w:tr>
      <w:tr w:rsidR="008F17A2" w:rsidRPr="00A24D29" w:rsidTr="00A24D29">
        <w:tc>
          <w:tcPr>
            <w:tcW w:w="3935" w:type="dxa"/>
          </w:tcPr>
          <w:p w:rsidR="008F17A2" w:rsidRPr="00A24D29" w:rsidRDefault="008F17A2" w:rsidP="00A24D29">
            <w:pPr>
              <w:spacing w:after="0" w:line="240" w:lineRule="auto"/>
              <w:rPr>
                <w:rFonts w:ascii="Times New Roman" w:hAnsi="Times New Roman"/>
              </w:rPr>
            </w:pPr>
            <w:r w:rsidRPr="00A24D29">
              <w:rPr>
                <w:rFonts w:ascii="Times New Roman" w:hAnsi="Times New Roman"/>
              </w:rPr>
              <w:t>Временное трудоустройство несовершеннолетних граждан в возрасте от 14 до 18 лет в свободное от учебы время</w:t>
            </w:r>
          </w:p>
        </w:tc>
        <w:tc>
          <w:tcPr>
            <w:tcW w:w="1768"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28843</w:t>
            </w:r>
          </w:p>
        </w:tc>
        <w:tc>
          <w:tcPr>
            <w:tcW w:w="1695"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30430</w:t>
            </w:r>
          </w:p>
        </w:tc>
        <w:tc>
          <w:tcPr>
            <w:tcW w:w="2072"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105,5</w:t>
            </w:r>
          </w:p>
        </w:tc>
      </w:tr>
      <w:tr w:rsidR="008F17A2" w:rsidRPr="00A24D29" w:rsidTr="00A24D29">
        <w:tc>
          <w:tcPr>
            <w:tcW w:w="3935" w:type="dxa"/>
          </w:tcPr>
          <w:p w:rsidR="008F17A2" w:rsidRPr="00A24D29" w:rsidRDefault="008F17A2" w:rsidP="00A24D29">
            <w:pPr>
              <w:spacing w:after="0" w:line="240" w:lineRule="auto"/>
              <w:rPr>
                <w:rFonts w:ascii="Times New Roman" w:hAnsi="Times New Roman"/>
              </w:rPr>
            </w:pPr>
            <w:r w:rsidRPr="00A24D29">
              <w:rPr>
                <w:rFonts w:ascii="Times New Roman" w:hAnsi="Times New Roman"/>
              </w:rPr>
              <w:t>Временное трудоустройство выпускников учреждений начального и среднего профессионального образования в возрасте от 18 до 20 лет</w:t>
            </w:r>
          </w:p>
        </w:tc>
        <w:tc>
          <w:tcPr>
            <w:tcW w:w="1768"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122</w:t>
            </w:r>
          </w:p>
        </w:tc>
        <w:tc>
          <w:tcPr>
            <w:tcW w:w="1695"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127</w:t>
            </w:r>
          </w:p>
        </w:tc>
        <w:tc>
          <w:tcPr>
            <w:tcW w:w="2072"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104,1</w:t>
            </w:r>
          </w:p>
        </w:tc>
      </w:tr>
      <w:tr w:rsidR="008F17A2" w:rsidRPr="00A24D29" w:rsidTr="00A24D29">
        <w:tc>
          <w:tcPr>
            <w:tcW w:w="3935" w:type="dxa"/>
          </w:tcPr>
          <w:p w:rsidR="008F17A2" w:rsidRPr="00A24D29" w:rsidRDefault="008F17A2" w:rsidP="00A24D29">
            <w:pPr>
              <w:spacing w:after="0" w:line="240" w:lineRule="auto"/>
              <w:rPr>
                <w:rFonts w:ascii="Times New Roman" w:hAnsi="Times New Roman"/>
              </w:rPr>
            </w:pPr>
            <w:r w:rsidRPr="00A24D29">
              <w:rPr>
                <w:rFonts w:ascii="Times New Roman" w:hAnsi="Times New Roman"/>
              </w:rPr>
              <w:t xml:space="preserve">Временное трудоустройство выпускников общеобразовательных учреждений и учреждений высшего профессионального образования </w:t>
            </w:r>
          </w:p>
        </w:tc>
        <w:tc>
          <w:tcPr>
            <w:tcW w:w="1768"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300</w:t>
            </w:r>
          </w:p>
        </w:tc>
        <w:tc>
          <w:tcPr>
            <w:tcW w:w="1695"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309</w:t>
            </w:r>
          </w:p>
        </w:tc>
        <w:tc>
          <w:tcPr>
            <w:tcW w:w="2072"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103,0</w:t>
            </w:r>
          </w:p>
        </w:tc>
      </w:tr>
      <w:tr w:rsidR="008F17A2" w:rsidRPr="00A24D29" w:rsidTr="00A24D29">
        <w:tc>
          <w:tcPr>
            <w:tcW w:w="3935" w:type="dxa"/>
          </w:tcPr>
          <w:p w:rsidR="008F17A2" w:rsidRPr="00A24D29" w:rsidRDefault="008F17A2" w:rsidP="00A24D29">
            <w:pPr>
              <w:spacing w:after="0" w:line="240" w:lineRule="auto"/>
              <w:rPr>
                <w:rFonts w:ascii="Times New Roman" w:hAnsi="Times New Roman"/>
              </w:rPr>
            </w:pPr>
            <w:r w:rsidRPr="00A24D29">
              <w:rPr>
                <w:rFonts w:ascii="Times New Roman" w:hAnsi="Times New Roman"/>
              </w:rPr>
              <w:t xml:space="preserve">Оказание услуг по </w:t>
            </w:r>
            <w:proofErr w:type="spellStart"/>
            <w:r w:rsidRPr="00A24D29">
              <w:rPr>
                <w:rFonts w:ascii="Times New Roman" w:hAnsi="Times New Roman"/>
              </w:rPr>
              <w:t>самозанятости</w:t>
            </w:r>
            <w:proofErr w:type="spellEnd"/>
          </w:p>
        </w:tc>
        <w:tc>
          <w:tcPr>
            <w:tcW w:w="1768"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1310</w:t>
            </w:r>
          </w:p>
        </w:tc>
        <w:tc>
          <w:tcPr>
            <w:tcW w:w="1695"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1605</w:t>
            </w:r>
          </w:p>
        </w:tc>
        <w:tc>
          <w:tcPr>
            <w:tcW w:w="2072"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122,5</w:t>
            </w:r>
          </w:p>
        </w:tc>
      </w:tr>
      <w:tr w:rsidR="008F17A2" w:rsidRPr="00A24D29" w:rsidTr="00A24D29">
        <w:tc>
          <w:tcPr>
            <w:tcW w:w="3935" w:type="dxa"/>
          </w:tcPr>
          <w:p w:rsidR="008F17A2" w:rsidRPr="00A24D29" w:rsidRDefault="008F17A2" w:rsidP="00A24D29">
            <w:pPr>
              <w:spacing w:after="0" w:line="240" w:lineRule="auto"/>
              <w:rPr>
                <w:rFonts w:ascii="Times New Roman" w:hAnsi="Times New Roman"/>
              </w:rPr>
            </w:pPr>
            <w:r w:rsidRPr="00A24D29">
              <w:rPr>
                <w:rFonts w:ascii="Times New Roman" w:hAnsi="Times New Roman"/>
              </w:rPr>
              <w:t xml:space="preserve">Организация ярмарок вакансий и учебных рабочих мест, ед. </w:t>
            </w:r>
          </w:p>
        </w:tc>
        <w:tc>
          <w:tcPr>
            <w:tcW w:w="1768"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255</w:t>
            </w:r>
          </w:p>
        </w:tc>
        <w:tc>
          <w:tcPr>
            <w:tcW w:w="1695"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320</w:t>
            </w:r>
          </w:p>
        </w:tc>
        <w:tc>
          <w:tcPr>
            <w:tcW w:w="2072"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125,5</w:t>
            </w:r>
          </w:p>
        </w:tc>
      </w:tr>
      <w:tr w:rsidR="008F17A2" w:rsidRPr="00A24D29" w:rsidTr="00A24D29">
        <w:tc>
          <w:tcPr>
            <w:tcW w:w="3935" w:type="dxa"/>
          </w:tcPr>
          <w:p w:rsidR="008F17A2" w:rsidRPr="00A24D29" w:rsidRDefault="008F17A2" w:rsidP="00A24D29">
            <w:pPr>
              <w:spacing w:after="0" w:line="240" w:lineRule="auto"/>
              <w:rPr>
                <w:rFonts w:ascii="Times New Roman" w:hAnsi="Times New Roman"/>
              </w:rPr>
            </w:pPr>
            <w:r w:rsidRPr="00A24D29">
              <w:rPr>
                <w:rFonts w:ascii="Times New Roman" w:hAnsi="Times New Roman"/>
              </w:rPr>
              <w:t>Профессиональная подготовка, переподготовка и повышение квалификации  безработных граждан</w:t>
            </w:r>
          </w:p>
        </w:tc>
        <w:tc>
          <w:tcPr>
            <w:tcW w:w="1768"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9000</w:t>
            </w:r>
          </w:p>
        </w:tc>
        <w:tc>
          <w:tcPr>
            <w:tcW w:w="1695"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9120</w:t>
            </w:r>
          </w:p>
        </w:tc>
        <w:tc>
          <w:tcPr>
            <w:tcW w:w="2072"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101,3</w:t>
            </w:r>
          </w:p>
        </w:tc>
      </w:tr>
      <w:tr w:rsidR="008F17A2" w:rsidRPr="00A24D29" w:rsidTr="00A24D29">
        <w:tc>
          <w:tcPr>
            <w:tcW w:w="3935" w:type="dxa"/>
          </w:tcPr>
          <w:p w:rsidR="008F17A2" w:rsidRPr="00A24D29" w:rsidRDefault="008F17A2" w:rsidP="00A24D29">
            <w:pPr>
              <w:spacing w:after="0" w:line="240" w:lineRule="auto"/>
              <w:rPr>
                <w:rFonts w:ascii="Times New Roman" w:hAnsi="Times New Roman"/>
              </w:rPr>
            </w:pPr>
            <w:r w:rsidRPr="00A24D29">
              <w:rPr>
                <w:rFonts w:ascii="Times New Roman" w:hAnsi="Times New Roman"/>
              </w:rPr>
              <w:t xml:space="preserve">Профессиональная ориентация граждан </w:t>
            </w:r>
          </w:p>
        </w:tc>
        <w:tc>
          <w:tcPr>
            <w:tcW w:w="1768"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155851</w:t>
            </w:r>
          </w:p>
        </w:tc>
        <w:tc>
          <w:tcPr>
            <w:tcW w:w="1695"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137312</w:t>
            </w:r>
          </w:p>
        </w:tc>
        <w:tc>
          <w:tcPr>
            <w:tcW w:w="2072"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88,1</w:t>
            </w:r>
          </w:p>
        </w:tc>
      </w:tr>
      <w:tr w:rsidR="008F17A2" w:rsidRPr="00A24D29" w:rsidTr="00A24D29">
        <w:tc>
          <w:tcPr>
            <w:tcW w:w="3935" w:type="dxa"/>
          </w:tcPr>
          <w:p w:rsidR="008F17A2" w:rsidRPr="00A24D29" w:rsidRDefault="008F17A2" w:rsidP="00A24D29">
            <w:pPr>
              <w:spacing w:after="0" w:line="240" w:lineRule="auto"/>
              <w:rPr>
                <w:rFonts w:ascii="Times New Roman" w:hAnsi="Times New Roman"/>
              </w:rPr>
            </w:pPr>
            <w:r w:rsidRPr="00A24D29">
              <w:rPr>
                <w:rFonts w:ascii="Times New Roman" w:hAnsi="Times New Roman"/>
              </w:rPr>
              <w:t>Психологическая поддержка безработных граждан</w:t>
            </w:r>
          </w:p>
        </w:tc>
        <w:tc>
          <w:tcPr>
            <w:tcW w:w="1768"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4225</w:t>
            </w:r>
          </w:p>
        </w:tc>
        <w:tc>
          <w:tcPr>
            <w:tcW w:w="1695"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5406</w:t>
            </w:r>
          </w:p>
        </w:tc>
        <w:tc>
          <w:tcPr>
            <w:tcW w:w="2072"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128,0</w:t>
            </w:r>
          </w:p>
        </w:tc>
      </w:tr>
      <w:tr w:rsidR="008F17A2" w:rsidRPr="00A24D29" w:rsidTr="00A24D29">
        <w:tc>
          <w:tcPr>
            <w:tcW w:w="3935" w:type="dxa"/>
          </w:tcPr>
          <w:p w:rsidR="008F17A2" w:rsidRPr="00A24D29" w:rsidRDefault="008F17A2" w:rsidP="00A24D29">
            <w:pPr>
              <w:spacing w:after="0" w:line="240" w:lineRule="auto"/>
              <w:rPr>
                <w:rFonts w:ascii="Times New Roman" w:hAnsi="Times New Roman"/>
              </w:rPr>
            </w:pPr>
            <w:r w:rsidRPr="00A24D29">
              <w:rPr>
                <w:rFonts w:ascii="Times New Roman" w:hAnsi="Times New Roman"/>
              </w:rPr>
              <w:t>Социальная адаптация безработных граждан</w:t>
            </w:r>
          </w:p>
        </w:tc>
        <w:tc>
          <w:tcPr>
            <w:tcW w:w="1768"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9272</w:t>
            </w:r>
          </w:p>
        </w:tc>
        <w:tc>
          <w:tcPr>
            <w:tcW w:w="1695"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9415</w:t>
            </w:r>
          </w:p>
        </w:tc>
        <w:tc>
          <w:tcPr>
            <w:tcW w:w="2072" w:type="dxa"/>
          </w:tcPr>
          <w:p w:rsidR="008F17A2" w:rsidRPr="00A24D29" w:rsidRDefault="008F17A2" w:rsidP="00A24D29">
            <w:pPr>
              <w:spacing w:after="0" w:line="240" w:lineRule="auto"/>
              <w:jc w:val="center"/>
              <w:rPr>
                <w:rFonts w:ascii="Times New Roman" w:hAnsi="Times New Roman"/>
              </w:rPr>
            </w:pPr>
            <w:r w:rsidRPr="00A24D29">
              <w:rPr>
                <w:rFonts w:ascii="Times New Roman" w:hAnsi="Times New Roman"/>
              </w:rPr>
              <w:t>101,5</w:t>
            </w:r>
          </w:p>
        </w:tc>
      </w:tr>
    </w:tbl>
    <w:p w:rsidR="008F17A2" w:rsidRPr="00A24D29" w:rsidRDefault="008F17A2" w:rsidP="00A24D29">
      <w:pPr>
        <w:spacing w:after="0" w:line="240" w:lineRule="auto"/>
        <w:ind w:firstLine="709"/>
        <w:jc w:val="both"/>
        <w:rPr>
          <w:rFonts w:ascii="Times New Roman" w:hAnsi="Times New Roman"/>
          <w:sz w:val="24"/>
          <w:szCs w:val="24"/>
        </w:rPr>
      </w:pPr>
    </w:p>
    <w:p w:rsidR="008F17A2" w:rsidRPr="00A24D29" w:rsidRDefault="008F17A2" w:rsidP="00A24D29">
      <w:pPr>
        <w:spacing w:after="0" w:line="240" w:lineRule="auto"/>
        <w:ind w:firstLine="709"/>
        <w:jc w:val="both"/>
        <w:rPr>
          <w:rFonts w:ascii="Times New Roman" w:hAnsi="Times New Roman"/>
          <w:sz w:val="24"/>
          <w:szCs w:val="24"/>
        </w:rPr>
      </w:pPr>
      <w:r w:rsidRPr="00A24D29">
        <w:rPr>
          <w:rFonts w:ascii="Times New Roman" w:hAnsi="Times New Roman"/>
          <w:sz w:val="24"/>
          <w:szCs w:val="24"/>
        </w:rPr>
        <w:t xml:space="preserve">Для организации временного трудоустройства несовершеннолетних граждан  привлечены средства местного бюджета в Набережных Челнах, Казани, </w:t>
      </w:r>
      <w:proofErr w:type="spellStart"/>
      <w:r w:rsidRPr="00A24D29">
        <w:rPr>
          <w:rFonts w:ascii="Times New Roman" w:hAnsi="Times New Roman"/>
          <w:sz w:val="24"/>
          <w:szCs w:val="24"/>
        </w:rPr>
        <w:t>Азнакаевском</w:t>
      </w:r>
      <w:proofErr w:type="spellEnd"/>
      <w:r w:rsidRPr="00A24D29">
        <w:rPr>
          <w:rFonts w:ascii="Times New Roman" w:hAnsi="Times New Roman"/>
          <w:sz w:val="24"/>
          <w:szCs w:val="24"/>
        </w:rPr>
        <w:t xml:space="preserve">, </w:t>
      </w:r>
      <w:proofErr w:type="spellStart"/>
      <w:r w:rsidRPr="00A24D29">
        <w:rPr>
          <w:rFonts w:ascii="Times New Roman" w:hAnsi="Times New Roman"/>
          <w:sz w:val="24"/>
          <w:szCs w:val="24"/>
        </w:rPr>
        <w:t>Бавлинском</w:t>
      </w:r>
      <w:proofErr w:type="spellEnd"/>
      <w:r w:rsidRPr="00A24D29">
        <w:rPr>
          <w:rFonts w:ascii="Times New Roman" w:hAnsi="Times New Roman"/>
          <w:sz w:val="24"/>
          <w:szCs w:val="24"/>
        </w:rPr>
        <w:t xml:space="preserve">, </w:t>
      </w:r>
      <w:proofErr w:type="spellStart"/>
      <w:r w:rsidRPr="00A24D29">
        <w:rPr>
          <w:rFonts w:ascii="Times New Roman" w:hAnsi="Times New Roman"/>
          <w:sz w:val="24"/>
          <w:szCs w:val="24"/>
        </w:rPr>
        <w:t>Бугульминском</w:t>
      </w:r>
      <w:proofErr w:type="spellEnd"/>
      <w:r w:rsidRPr="00A24D29">
        <w:rPr>
          <w:rFonts w:ascii="Times New Roman" w:hAnsi="Times New Roman"/>
          <w:sz w:val="24"/>
          <w:szCs w:val="24"/>
        </w:rPr>
        <w:t xml:space="preserve"> и </w:t>
      </w:r>
      <w:proofErr w:type="spellStart"/>
      <w:r w:rsidRPr="00A24D29">
        <w:rPr>
          <w:rFonts w:ascii="Times New Roman" w:hAnsi="Times New Roman"/>
          <w:sz w:val="24"/>
          <w:szCs w:val="24"/>
        </w:rPr>
        <w:t>Елабужском</w:t>
      </w:r>
      <w:proofErr w:type="spellEnd"/>
      <w:r w:rsidRPr="00A24D29">
        <w:rPr>
          <w:rFonts w:ascii="Times New Roman" w:hAnsi="Times New Roman"/>
          <w:sz w:val="24"/>
          <w:szCs w:val="24"/>
        </w:rPr>
        <w:t xml:space="preserve"> муниципальных районах. Общая сумма средств составила 11,8 млн. рублей.</w:t>
      </w:r>
    </w:p>
    <w:p w:rsidR="008F17A2" w:rsidRPr="00A24D29" w:rsidRDefault="008F17A2" w:rsidP="00A24D29">
      <w:pPr>
        <w:spacing w:after="0" w:line="240" w:lineRule="auto"/>
        <w:ind w:firstLine="709"/>
        <w:jc w:val="both"/>
        <w:rPr>
          <w:rFonts w:ascii="Times New Roman" w:hAnsi="Times New Roman"/>
          <w:sz w:val="24"/>
          <w:szCs w:val="24"/>
        </w:rPr>
      </w:pPr>
      <w:r w:rsidRPr="00A24D29">
        <w:rPr>
          <w:rFonts w:ascii="Times New Roman" w:hAnsi="Times New Roman"/>
          <w:sz w:val="24"/>
          <w:szCs w:val="24"/>
        </w:rPr>
        <w:object w:dxaOrig="6989" w:dyaOrig="5221">
          <v:shape id="_x0000_i1032" type="#_x0000_t75" style="width:348.75pt;height:261pt" o:ole="">
            <v:imagedata r:id="rId25" o:title=""/>
          </v:shape>
          <o:OLEObject Type="Embed" ProgID="PowerPoint.Slide.12" ShapeID="_x0000_i1032" DrawAspect="Content" ObjectID="_1421131393" r:id="rId26"/>
        </w:object>
      </w:r>
    </w:p>
    <w:p w:rsidR="008F17A2" w:rsidRPr="00A24D29" w:rsidRDefault="008F17A2" w:rsidP="00A24D29">
      <w:pPr>
        <w:pStyle w:val="2"/>
        <w:tabs>
          <w:tab w:val="left" w:pos="-142"/>
          <w:tab w:val="left" w:pos="0"/>
        </w:tabs>
        <w:spacing w:after="0" w:line="240" w:lineRule="auto"/>
        <w:ind w:firstLine="709"/>
        <w:jc w:val="both"/>
        <w:rPr>
          <w:rFonts w:ascii="Times New Roman" w:hAnsi="Times New Roman"/>
          <w:sz w:val="24"/>
          <w:szCs w:val="24"/>
        </w:rPr>
      </w:pPr>
      <w:r w:rsidRPr="00A24D29">
        <w:rPr>
          <w:rFonts w:ascii="Times New Roman" w:hAnsi="Times New Roman"/>
          <w:sz w:val="24"/>
          <w:szCs w:val="24"/>
        </w:rPr>
        <w:t xml:space="preserve">В рамках реализации Региональной программы дополнительных мероприятий, направленных на снижение напряженности на рынке труда Республики Татарстан, за 2012 год создано 1762 рабочих места по программе </w:t>
      </w:r>
      <w:proofErr w:type="spellStart"/>
      <w:r w:rsidRPr="00A24D29">
        <w:rPr>
          <w:rFonts w:ascii="Times New Roman" w:hAnsi="Times New Roman"/>
          <w:sz w:val="24"/>
          <w:szCs w:val="24"/>
        </w:rPr>
        <w:t>самозанятости</w:t>
      </w:r>
      <w:proofErr w:type="spellEnd"/>
      <w:r w:rsidRPr="00A24D29">
        <w:rPr>
          <w:rFonts w:ascii="Times New Roman" w:hAnsi="Times New Roman"/>
          <w:sz w:val="24"/>
          <w:szCs w:val="24"/>
        </w:rPr>
        <w:t xml:space="preserve"> безработных граждан, для трудоустройства инвалидов, многодетных родителей и родителей, воспитывающих детей-инвалидов. Все объемы, запланированные Региональной программой дополнительных мероприятий, направленных на снижение напряженности на рынке труда Республики Татарстан, выполнены:</w:t>
      </w:r>
    </w:p>
    <w:p w:rsidR="008F17A2" w:rsidRPr="00A24D29" w:rsidRDefault="008F17A2" w:rsidP="00A24D29">
      <w:pPr>
        <w:tabs>
          <w:tab w:val="left" w:pos="709"/>
        </w:tabs>
        <w:spacing w:after="0" w:line="240" w:lineRule="auto"/>
        <w:ind w:firstLine="709"/>
        <w:jc w:val="both"/>
        <w:rPr>
          <w:rFonts w:ascii="Times New Roman" w:hAnsi="Times New Roman"/>
          <w:sz w:val="24"/>
          <w:szCs w:val="24"/>
        </w:rPr>
      </w:pPr>
      <w:r w:rsidRPr="00A24D29">
        <w:rPr>
          <w:rFonts w:ascii="Times New Roman" w:hAnsi="Times New Roman"/>
          <w:sz w:val="24"/>
          <w:szCs w:val="24"/>
        </w:rPr>
        <w:t xml:space="preserve">зарегистрировали предпринимательскую деятельность в налоговых органах  1310 безработных граждан;  </w:t>
      </w:r>
    </w:p>
    <w:p w:rsidR="008F17A2" w:rsidRPr="00A24D29" w:rsidRDefault="008F17A2" w:rsidP="00A24D29">
      <w:pPr>
        <w:tabs>
          <w:tab w:val="left" w:pos="7654"/>
        </w:tabs>
        <w:spacing w:after="0" w:line="240" w:lineRule="auto"/>
        <w:ind w:firstLine="709"/>
        <w:jc w:val="both"/>
        <w:rPr>
          <w:rFonts w:ascii="Times New Roman" w:hAnsi="Times New Roman"/>
          <w:sz w:val="24"/>
          <w:szCs w:val="24"/>
        </w:rPr>
      </w:pPr>
      <w:r w:rsidRPr="00A24D29">
        <w:rPr>
          <w:rFonts w:ascii="Times New Roman" w:hAnsi="Times New Roman"/>
          <w:sz w:val="24"/>
          <w:szCs w:val="24"/>
        </w:rPr>
        <w:t xml:space="preserve">создано 352 рабочих места для незанятых инвалидов, 100 рабочих мест для многодетных родителей и родителей, воспитывающих детей-инвалидов; </w:t>
      </w:r>
    </w:p>
    <w:p w:rsidR="008F17A2" w:rsidRPr="00A24D29" w:rsidRDefault="008F17A2" w:rsidP="00A24D29">
      <w:pPr>
        <w:spacing w:after="0" w:line="240" w:lineRule="auto"/>
        <w:ind w:firstLine="709"/>
        <w:jc w:val="both"/>
        <w:rPr>
          <w:rFonts w:ascii="Times New Roman" w:hAnsi="Times New Roman"/>
          <w:sz w:val="24"/>
          <w:szCs w:val="24"/>
        </w:rPr>
      </w:pPr>
      <w:r w:rsidRPr="00A24D29">
        <w:rPr>
          <w:rFonts w:ascii="Times New Roman" w:hAnsi="Times New Roman"/>
          <w:sz w:val="24"/>
          <w:szCs w:val="24"/>
        </w:rPr>
        <w:t>оказано содействие в трудоустройстве 192 безработным гражданам при переезде в другую местность по направлению органов службы занятости;</w:t>
      </w:r>
    </w:p>
    <w:p w:rsidR="008F17A2" w:rsidRPr="00A24D29" w:rsidRDefault="008F17A2" w:rsidP="00A24D29">
      <w:pPr>
        <w:spacing w:after="0" w:line="240" w:lineRule="auto"/>
        <w:ind w:firstLine="709"/>
        <w:jc w:val="both"/>
        <w:rPr>
          <w:rFonts w:ascii="Times New Roman" w:hAnsi="Times New Roman"/>
          <w:sz w:val="24"/>
          <w:szCs w:val="24"/>
        </w:rPr>
      </w:pPr>
      <w:r w:rsidRPr="00A24D29">
        <w:rPr>
          <w:rFonts w:ascii="Times New Roman" w:hAnsi="Times New Roman"/>
          <w:sz w:val="24"/>
          <w:szCs w:val="24"/>
        </w:rPr>
        <w:t>направлено на опережающее профессиональное обучение 2 348  работников организаций, осуществляющих реструктуризацию и модернизацию деятельности в соответствии с инвестиционными проектами;</w:t>
      </w:r>
    </w:p>
    <w:p w:rsidR="008F17A2" w:rsidRPr="00A24D29" w:rsidRDefault="008F17A2" w:rsidP="00A24D29">
      <w:pPr>
        <w:spacing w:after="0" w:line="240" w:lineRule="auto"/>
        <w:ind w:firstLine="709"/>
        <w:jc w:val="both"/>
        <w:rPr>
          <w:rFonts w:ascii="Times New Roman" w:hAnsi="Times New Roman"/>
          <w:sz w:val="24"/>
          <w:szCs w:val="24"/>
        </w:rPr>
      </w:pPr>
      <w:r w:rsidRPr="00A24D29">
        <w:rPr>
          <w:rFonts w:ascii="Times New Roman" w:hAnsi="Times New Roman"/>
          <w:sz w:val="24"/>
          <w:szCs w:val="24"/>
        </w:rPr>
        <w:t>направлено на профессиональную подготовку, переподготовку и повышение квалификации 582 женщины, находящиеся в отпуске по уходу за ребенком до 3 лет, планирующие возвращение к трудовой деятельности.</w:t>
      </w:r>
    </w:p>
    <w:p w:rsidR="008F17A2" w:rsidRPr="00A24D29" w:rsidRDefault="008F17A2" w:rsidP="00A24D29">
      <w:pPr>
        <w:spacing w:after="0" w:line="240" w:lineRule="auto"/>
        <w:ind w:firstLine="709"/>
        <w:jc w:val="both"/>
        <w:rPr>
          <w:rFonts w:ascii="Times New Roman" w:hAnsi="Times New Roman"/>
          <w:sz w:val="24"/>
          <w:szCs w:val="24"/>
        </w:rPr>
      </w:pPr>
      <w:r w:rsidRPr="00A24D29">
        <w:rPr>
          <w:rFonts w:ascii="Times New Roman" w:hAnsi="Times New Roman"/>
          <w:sz w:val="24"/>
          <w:szCs w:val="24"/>
        </w:rPr>
        <w:object w:dxaOrig="7216" w:dyaOrig="5390">
          <v:shape id="_x0000_i1033" type="#_x0000_t75" style="width:303pt;height:201.75pt" o:ole="">
            <v:imagedata r:id="rId27" o:title=""/>
          </v:shape>
          <o:OLEObject Type="Embed" ProgID="PowerPoint.Slide.12" ShapeID="_x0000_i1033" DrawAspect="Content" ObjectID="_1421131394" r:id="rId28"/>
        </w:object>
      </w:r>
    </w:p>
    <w:p w:rsidR="008F17A2" w:rsidRPr="00A24D29" w:rsidRDefault="008F17A2" w:rsidP="00A24D29">
      <w:pPr>
        <w:pStyle w:val="2"/>
        <w:tabs>
          <w:tab w:val="left" w:pos="-142"/>
          <w:tab w:val="left" w:pos="0"/>
        </w:tabs>
        <w:spacing w:after="0" w:line="240" w:lineRule="auto"/>
        <w:ind w:firstLine="709"/>
        <w:jc w:val="both"/>
        <w:rPr>
          <w:rFonts w:ascii="Times New Roman" w:hAnsi="Times New Roman"/>
          <w:sz w:val="24"/>
          <w:szCs w:val="24"/>
        </w:rPr>
      </w:pPr>
    </w:p>
    <w:p w:rsidR="008F17A2" w:rsidRPr="00A24D29" w:rsidRDefault="008F17A2" w:rsidP="00A24D29">
      <w:pPr>
        <w:spacing w:after="0" w:line="240" w:lineRule="auto"/>
        <w:ind w:firstLine="709"/>
        <w:jc w:val="both"/>
        <w:rPr>
          <w:rFonts w:ascii="Times New Roman" w:hAnsi="Times New Roman"/>
          <w:sz w:val="24"/>
          <w:szCs w:val="24"/>
        </w:rPr>
      </w:pPr>
      <w:r w:rsidRPr="00A24D29">
        <w:rPr>
          <w:rFonts w:ascii="Times New Roman" w:hAnsi="Times New Roman"/>
          <w:sz w:val="24"/>
          <w:szCs w:val="24"/>
        </w:rPr>
        <w:t>По поручению Президента Республики Татарстан Р.Н. Минниханова в Республике Татарстан реализуется проект «Интернет-Долголетие».  Реализация данного направления осуществляется в целях организации изучения гражданами из числа пенсионеров, лиц предпенсионного и пожилого возраста, проживающими в Республике Татарстан, основ компьютерной грамотности. По состоянию на 11 января 2013 года на изучение основ компьютерной грамотности направлено 16 305 человек  указанной категории. Также  в Республике Татарстан обучение пенсионеров работе на компьютере осуществляется в рамках проекта «Университет 3-го возраста» Регионального отделения Общероссийской общественной организации «Союз пенсионеров России» по Республике Татарстан, участниками которого в 2011-2012 годах стали  5 330  человек. Кроме того, по данным муниципальных образований республики 2 731 ветеран (пенсионер) предприятий и организаций направлен на обучение основам компьютерной грамотности за счет собственных сре</w:t>
      </w:r>
      <w:proofErr w:type="gramStart"/>
      <w:r w:rsidRPr="00A24D29">
        <w:rPr>
          <w:rFonts w:ascii="Times New Roman" w:hAnsi="Times New Roman"/>
          <w:sz w:val="24"/>
          <w:szCs w:val="24"/>
        </w:rPr>
        <w:t>дств пр</w:t>
      </w:r>
      <w:proofErr w:type="gramEnd"/>
      <w:r w:rsidRPr="00A24D29">
        <w:rPr>
          <w:rFonts w:ascii="Times New Roman" w:hAnsi="Times New Roman"/>
          <w:sz w:val="24"/>
          <w:szCs w:val="24"/>
        </w:rPr>
        <w:t xml:space="preserve">едприятий или организаций в соответствии с обращением Премьер-министра Республики Татарстан И.Ш. </w:t>
      </w:r>
      <w:proofErr w:type="spellStart"/>
      <w:r w:rsidRPr="00A24D29">
        <w:rPr>
          <w:rFonts w:ascii="Times New Roman" w:hAnsi="Times New Roman"/>
          <w:sz w:val="24"/>
          <w:szCs w:val="24"/>
        </w:rPr>
        <w:t>Халикова</w:t>
      </w:r>
      <w:proofErr w:type="spellEnd"/>
      <w:r w:rsidRPr="00A24D29">
        <w:rPr>
          <w:rFonts w:ascii="Times New Roman" w:hAnsi="Times New Roman"/>
          <w:sz w:val="24"/>
          <w:szCs w:val="24"/>
        </w:rPr>
        <w:t>.  Таким образом, в настоящее время основам компьютерной грамотности обучаются более 24,3 тыс. граждан из числа пенсионеров и  лиц предпенсионного возраста.</w:t>
      </w:r>
    </w:p>
    <w:p w:rsidR="008F17A2" w:rsidRPr="00A24D29" w:rsidRDefault="008F17A2" w:rsidP="00A24D29">
      <w:pPr>
        <w:spacing w:after="0" w:line="240" w:lineRule="auto"/>
        <w:ind w:firstLine="709"/>
        <w:jc w:val="both"/>
        <w:rPr>
          <w:rFonts w:ascii="Times New Roman" w:hAnsi="Times New Roman"/>
          <w:sz w:val="24"/>
          <w:szCs w:val="24"/>
        </w:rPr>
      </w:pPr>
    </w:p>
    <w:p w:rsidR="008F17A2" w:rsidRPr="00A24D29" w:rsidRDefault="008F17A2" w:rsidP="00A24D29">
      <w:pPr>
        <w:pStyle w:val="Style8"/>
        <w:widowControl/>
        <w:tabs>
          <w:tab w:val="left" w:pos="1378"/>
        </w:tabs>
        <w:ind w:firstLine="709"/>
        <w:jc w:val="center"/>
        <w:outlineLvl w:val="0"/>
        <w:rPr>
          <w:b/>
        </w:rPr>
      </w:pPr>
      <w:r w:rsidRPr="00A24D29">
        <w:rPr>
          <w:b/>
        </w:rPr>
        <w:t>Предоставление государственных услуг в области содействия занятости населения с использованием мобильных офисов</w:t>
      </w:r>
    </w:p>
    <w:p w:rsidR="008F17A2" w:rsidRPr="00A24D29" w:rsidRDefault="008F17A2" w:rsidP="00A24D29">
      <w:pPr>
        <w:pStyle w:val="Style8"/>
        <w:widowControl/>
        <w:tabs>
          <w:tab w:val="left" w:pos="1378"/>
        </w:tabs>
        <w:ind w:firstLine="709"/>
        <w:jc w:val="both"/>
      </w:pPr>
    </w:p>
    <w:p w:rsidR="008F17A2" w:rsidRPr="00A24D29" w:rsidRDefault="008F17A2" w:rsidP="00A24D29">
      <w:pPr>
        <w:pStyle w:val="Style8"/>
        <w:widowControl/>
        <w:tabs>
          <w:tab w:val="left" w:pos="1378"/>
        </w:tabs>
        <w:ind w:firstLine="709"/>
        <w:jc w:val="both"/>
      </w:pPr>
      <w:r w:rsidRPr="00A24D29">
        <w:t xml:space="preserve">В целях повышения результативности в содействии занятости населения путем обеспечения доступности государственных услуг, оказываемых государственными учреждениями службы занятости населения, в Республике Татарстан используются 30 Мобильных офисов, которые организованы на базе специально оборудованных автотранспортных средств. </w:t>
      </w:r>
    </w:p>
    <w:p w:rsidR="008F17A2" w:rsidRPr="00A24D29" w:rsidRDefault="008F17A2" w:rsidP="00A24D29">
      <w:pPr>
        <w:pStyle w:val="4-0"/>
        <w:spacing w:after="0"/>
        <w:ind w:firstLine="567"/>
        <w:rPr>
          <w:sz w:val="24"/>
          <w:szCs w:val="24"/>
        </w:rPr>
      </w:pPr>
      <w:r w:rsidRPr="00A24D29">
        <w:rPr>
          <w:sz w:val="24"/>
          <w:szCs w:val="24"/>
        </w:rPr>
        <w:t>В 2012 году мобильные офисы совершили 854 рабочих выезда. Численность граждан получивших, государственные услуги с использованием Мобильного офиса за 2012 год составила 21 605 человек, в том числе по видам услуг:</w:t>
      </w:r>
    </w:p>
    <w:p w:rsidR="008F17A2" w:rsidRPr="00A24D29" w:rsidRDefault="008F17A2" w:rsidP="00A24D29">
      <w:pPr>
        <w:pStyle w:val="aa"/>
        <w:numPr>
          <w:ilvl w:val="0"/>
          <w:numId w:val="3"/>
        </w:numPr>
        <w:autoSpaceDE w:val="0"/>
        <w:autoSpaceDN w:val="0"/>
        <w:adjustRightInd w:val="0"/>
        <w:spacing w:after="0" w:line="240" w:lineRule="auto"/>
        <w:ind w:left="0" w:firstLine="284"/>
        <w:jc w:val="both"/>
        <w:rPr>
          <w:rFonts w:ascii="Times New Roman" w:hAnsi="Times New Roman"/>
          <w:sz w:val="24"/>
          <w:szCs w:val="24"/>
        </w:rPr>
      </w:pPr>
      <w:r w:rsidRPr="00A24D29">
        <w:rPr>
          <w:rFonts w:ascii="Times New Roman" w:hAnsi="Times New Roman"/>
          <w:sz w:val="24"/>
          <w:szCs w:val="24"/>
        </w:rPr>
        <w:t>содействие в поиске подходящей работы – 2 185 человек;</w:t>
      </w:r>
    </w:p>
    <w:p w:rsidR="008F17A2" w:rsidRPr="00A24D29" w:rsidRDefault="008F17A2" w:rsidP="00A24D29">
      <w:pPr>
        <w:pStyle w:val="aa"/>
        <w:numPr>
          <w:ilvl w:val="0"/>
          <w:numId w:val="3"/>
        </w:numPr>
        <w:autoSpaceDE w:val="0"/>
        <w:autoSpaceDN w:val="0"/>
        <w:adjustRightInd w:val="0"/>
        <w:spacing w:after="0" w:line="240" w:lineRule="auto"/>
        <w:ind w:left="0" w:firstLine="284"/>
        <w:jc w:val="both"/>
        <w:rPr>
          <w:rFonts w:ascii="Times New Roman" w:hAnsi="Times New Roman"/>
          <w:sz w:val="24"/>
          <w:szCs w:val="24"/>
        </w:rPr>
      </w:pPr>
      <w:r w:rsidRPr="00A24D29">
        <w:rPr>
          <w:rFonts w:ascii="Times New Roman" w:hAnsi="Times New Roman"/>
          <w:sz w:val="24"/>
          <w:szCs w:val="24"/>
        </w:rPr>
        <w:t>информирование – 5 273 человека;</w:t>
      </w:r>
    </w:p>
    <w:p w:rsidR="008F17A2" w:rsidRPr="00A24D29" w:rsidRDefault="008F17A2" w:rsidP="00A24D29">
      <w:pPr>
        <w:pStyle w:val="aa"/>
        <w:numPr>
          <w:ilvl w:val="0"/>
          <w:numId w:val="3"/>
        </w:numPr>
        <w:autoSpaceDE w:val="0"/>
        <w:autoSpaceDN w:val="0"/>
        <w:adjustRightInd w:val="0"/>
        <w:spacing w:after="0" w:line="240" w:lineRule="auto"/>
        <w:ind w:left="0" w:firstLine="284"/>
        <w:jc w:val="both"/>
        <w:rPr>
          <w:rFonts w:ascii="Times New Roman" w:hAnsi="Times New Roman"/>
          <w:sz w:val="24"/>
          <w:szCs w:val="24"/>
        </w:rPr>
      </w:pPr>
      <w:r w:rsidRPr="00A24D29">
        <w:rPr>
          <w:rFonts w:ascii="Times New Roman" w:hAnsi="Times New Roman"/>
          <w:sz w:val="24"/>
          <w:szCs w:val="24"/>
        </w:rPr>
        <w:t>профессиональная ориентация – 11 552 человека;</w:t>
      </w:r>
    </w:p>
    <w:p w:rsidR="008F17A2" w:rsidRPr="00A24D29" w:rsidRDefault="008F17A2" w:rsidP="00A24D29">
      <w:pPr>
        <w:pStyle w:val="aa"/>
        <w:numPr>
          <w:ilvl w:val="0"/>
          <w:numId w:val="3"/>
        </w:numPr>
        <w:autoSpaceDE w:val="0"/>
        <w:autoSpaceDN w:val="0"/>
        <w:adjustRightInd w:val="0"/>
        <w:spacing w:after="0" w:line="240" w:lineRule="auto"/>
        <w:ind w:left="0" w:firstLine="284"/>
        <w:jc w:val="both"/>
        <w:rPr>
          <w:rFonts w:ascii="Times New Roman" w:hAnsi="Times New Roman"/>
          <w:sz w:val="24"/>
          <w:szCs w:val="24"/>
        </w:rPr>
      </w:pPr>
      <w:r w:rsidRPr="00A24D29">
        <w:rPr>
          <w:rFonts w:ascii="Times New Roman" w:hAnsi="Times New Roman"/>
          <w:sz w:val="24"/>
          <w:szCs w:val="24"/>
        </w:rPr>
        <w:t>психологическая поддержка -1 238 человек;</w:t>
      </w:r>
    </w:p>
    <w:p w:rsidR="008F17A2" w:rsidRPr="00A24D29" w:rsidRDefault="008F17A2" w:rsidP="00A24D29">
      <w:pPr>
        <w:pStyle w:val="aa"/>
        <w:numPr>
          <w:ilvl w:val="0"/>
          <w:numId w:val="3"/>
        </w:numPr>
        <w:autoSpaceDE w:val="0"/>
        <w:autoSpaceDN w:val="0"/>
        <w:adjustRightInd w:val="0"/>
        <w:spacing w:after="0" w:line="240" w:lineRule="auto"/>
        <w:ind w:left="0" w:firstLine="284"/>
        <w:jc w:val="both"/>
        <w:rPr>
          <w:rFonts w:ascii="Times New Roman" w:hAnsi="Times New Roman"/>
          <w:sz w:val="24"/>
          <w:szCs w:val="24"/>
        </w:rPr>
      </w:pPr>
      <w:r w:rsidRPr="00A24D29">
        <w:rPr>
          <w:rFonts w:ascii="Times New Roman" w:hAnsi="Times New Roman"/>
          <w:sz w:val="24"/>
          <w:szCs w:val="24"/>
        </w:rPr>
        <w:t>консультирование о возможности пройти профессиональное обучение – 2 123 человека;</w:t>
      </w:r>
    </w:p>
    <w:p w:rsidR="008F17A2" w:rsidRPr="00A24D29" w:rsidRDefault="008F17A2" w:rsidP="00A24D29">
      <w:pPr>
        <w:pStyle w:val="aa"/>
        <w:numPr>
          <w:ilvl w:val="0"/>
          <w:numId w:val="3"/>
        </w:numPr>
        <w:autoSpaceDE w:val="0"/>
        <w:autoSpaceDN w:val="0"/>
        <w:adjustRightInd w:val="0"/>
        <w:spacing w:after="0" w:line="240" w:lineRule="auto"/>
        <w:ind w:left="0" w:firstLine="284"/>
        <w:jc w:val="both"/>
        <w:rPr>
          <w:rFonts w:ascii="Times New Roman" w:hAnsi="Times New Roman"/>
          <w:sz w:val="24"/>
          <w:szCs w:val="24"/>
        </w:rPr>
      </w:pPr>
      <w:r w:rsidRPr="00A24D29">
        <w:rPr>
          <w:rFonts w:ascii="Times New Roman" w:hAnsi="Times New Roman"/>
          <w:sz w:val="24"/>
          <w:szCs w:val="24"/>
        </w:rPr>
        <w:t>консультирование об участии в специальных программах – 1 019 человек;</w:t>
      </w:r>
    </w:p>
    <w:p w:rsidR="008F17A2" w:rsidRPr="00A24D29" w:rsidRDefault="008F17A2" w:rsidP="00A24D29">
      <w:pPr>
        <w:pStyle w:val="aa"/>
        <w:numPr>
          <w:ilvl w:val="0"/>
          <w:numId w:val="3"/>
        </w:numPr>
        <w:autoSpaceDE w:val="0"/>
        <w:autoSpaceDN w:val="0"/>
        <w:adjustRightInd w:val="0"/>
        <w:spacing w:after="0" w:line="240" w:lineRule="auto"/>
        <w:ind w:left="0" w:firstLine="284"/>
        <w:jc w:val="both"/>
        <w:rPr>
          <w:rFonts w:ascii="Times New Roman" w:hAnsi="Times New Roman"/>
          <w:sz w:val="24"/>
          <w:szCs w:val="24"/>
        </w:rPr>
      </w:pPr>
      <w:r w:rsidRPr="00A24D29">
        <w:rPr>
          <w:rFonts w:ascii="Times New Roman" w:hAnsi="Times New Roman"/>
          <w:sz w:val="24"/>
          <w:szCs w:val="24"/>
        </w:rPr>
        <w:t>перерегистрация безработных граждан – 2 892 человека.</w:t>
      </w:r>
    </w:p>
    <w:p w:rsidR="008F17A2" w:rsidRDefault="008F17A2" w:rsidP="00A24D29">
      <w:pPr>
        <w:spacing w:after="0" w:line="240" w:lineRule="auto"/>
        <w:ind w:firstLine="709"/>
        <w:jc w:val="both"/>
        <w:rPr>
          <w:rFonts w:ascii="Times New Roman" w:hAnsi="Times New Roman"/>
          <w:sz w:val="24"/>
          <w:szCs w:val="24"/>
        </w:rPr>
      </w:pPr>
    </w:p>
    <w:p w:rsidR="00F73AE3" w:rsidRPr="00EA6CE2" w:rsidRDefault="00F73AE3" w:rsidP="00F73AE3">
      <w:pPr>
        <w:spacing w:after="0" w:line="240" w:lineRule="auto"/>
        <w:jc w:val="center"/>
        <w:rPr>
          <w:rFonts w:ascii="Times New Roman" w:hAnsi="Times New Roman"/>
          <w:b/>
          <w:sz w:val="24"/>
          <w:szCs w:val="24"/>
        </w:rPr>
      </w:pPr>
      <w:r>
        <w:rPr>
          <w:rFonts w:ascii="Times New Roman" w:hAnsi="Times New Roman"/>
          <w:b/>
          <w:sz w:val="24"/>
          <w:szCs w:val="24"/>
        </w:rPr>
        <w:t>3</w:t>
      </w:r>
      <w:r w:rsidRPr="00EA6CE2">
        <w:rPr>
          <w:rFonts w:ascii="Times New Roman" w:hAnsi="Times New Roman"/>
          <w:b/>
          <w:sz w:val="24"/>
          <w:szCs w:val="24"/>
        </w:rPr>
        <w:t>. Профессиональное образование</w:t>
      </w:r>
    </w:p>
    <w:p w:rsidR="00F73AE3" w:rsidRDefault="00F73AE3" w:rsidP="00F73AE3">
      <w:pPr>
        <w:spacing w:after="0" w:line="240" w:lineRule="auto"/>
        <w:jc w:val="both"/>
        <w:rPr>
          <w:rFonts w:ascii="Times New Roman" w:hAnsi="Times New Roman"/>
          <w:b/>
          <w:sz w:val="24"/>
          <w:szCs w:val="24"/>
        </w:rPr>
      </w:pPr>
    </w:p>
    <w:p w:rsidR="00F73AE3" w:rsidRPr="00EA6CE2" w:rsidRDefault="00F73AE3" w:rsidP="00F73AE3">
      <w:pPr>
        <w:spacing w:after="0" w:line="240" w:lineRule="auto"/>
        <w:jc w:val="both"/>
        <w:rPr>
          <w:rFonts w:ascii="Times New Roman" w:hAnsi="Times New Roman"/>
          <w:b/>
          <w:sz w:val="24"/>
          <w:szCs w:val="24"/>
        </w:rPr>
      </w:pPr>
      <w:r w:rsidRPr="00EA6CE2">
        <w:rPr>
          <w:rFonts w:ascii="Times New Roman" w:hAnsi="Times New Roman"/>
          <w:b/>
          <w:sz w:val="24"/>
          <w:szCs w:val="24"/>
        </w:rPr>
        <w:t>Формирование государственного заказа на подготовку кадров</w:t>
      </w:r>
    </w:p>
    <w:p w:rsidR="00F73AE3" w:rsidRPr="00EA6CE2" w:rsidRDefault="00F73AE3" w:rsidP="00F73AE3">
      <w:pPr>
        <w:spacing w:after="0" w:line="240" w:lineRule="auto"/>
        <w:jc w:val="both"/>
        <w:rPr>
          <w:rFonts w:ascii="Times New Roman" w:hAnsi="Times New Roman"/>
          <w:b/>
          <w:sz w:val="24"/>
          <w:szCs w:val="24"/>
        </w:rPr>
      </w:pP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В целях удовлетворения потребности экономики Республики Татарстан в квалифицированных рабочих и специалистах с начальным, средним и высшим профессиональным образованием Министерством труда, занятости и социальной защиты Республики Татарстан установлен Государственный заказ на подготовку кадров в подведомственных образовательных учреждениях на 2012/2013 учебный год  в объеме 16,5 тыс. человек, в том числе:</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xml:space="preserve">- государственный заказ на профессиональную подготовку осужденных, освобождающихся из мест лишения свободы в количестве 525 человек,  утвержденный постановлением Кабинета Министров Республики Татарстан от  2 марта 2012 года №184 </w:t>
      </w:r>
      <w:r w:rsidRPr="00EA6CE2">
        <w:rPr>
          <w:rFonts w:ascii="Times New Roman" w:hAnsi="Times New Roman"/>
          <w:sz w:val="24"/>
          <w:szCs w:val="24"/>
        </w:rPr>
        <w:lastRenderedPageBreak/>
        <w:t xml:space="preserve">«О системе упреждающих мер по </w:t>
      </w:r>
      <w:proofErr w:type="spellStart"/>
      <w:r w:rsidRPr="00EA6CE2">
        <w:rPr>
          <w:rFonts w:ascii="Times New Roman" w:hAnsi="Times New Roman"/>
          <w:sz w:val="24"/>
          <w:szCs w:val="24"/>
        </w:rPr>
        <w:t>ресоциализации</w:t>
      </w:r>
      <w:proofErr w:type="spellEnd"/>
      <w:r w:rsidRPr="00EA6CE2">
        <w:rPr>
          <w:rFonts w:ascii="Times New Roman" w:hAnsi="Times New Roman"/>
          <w:sz w:val="24"/>
          <w:szCs w:val="24"/>
        </w:rPr>
        <w:t xml:space="preserve"> осужденных, освобождающихся из мест лишения свободы»;</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xml:space="preserve">-государственный заказ на профессиональную подготовку отдельных категорий молодежи в объеме 420 человек, сформированный согласно Порядку формирования государственного заказа на профессиональную подготовку отдельных категорий молодежи по профессиям рабочих в Республике Татарстан, утвержденному постановлением Кабинета Министров Республики Татарстан от 29.12.2011 №1096. </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По состоянию на 1 января 2012 года прием учащихся составил 14,1 тыс. человек.</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Общий контингент учащихся на 1января 2013 года составил 40,7 тыс. человек.</w:t>
      </w:r>
    </w:p>
    <w:p w:rsidR="00F73AE3" w:rsidRPr="00EA6CE2" w:rsidRDefault="00F73AE3" w:rsidP="00F73AE3">
      <w:pPr>
        <w:spacing w:after="0" w:line="240" w:lineRule="auto"/>
        <w:jc w:val="both"/>
        <w:rPr>
          <w:rFonts w:ascii="Times New Roman" w:hAnsi="Times New Roman"/>
          <w:sz w:val="24"/>
          <w:szCs w:val="24"/>
        </w:rPr>
      </w:pP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Обучение в образовательных учреждениях осуществляется более чем по 200 профессиям и специальностям, в том числе по двухуровневым программам начального и среднего профессионального образования для отраслей сельского хозяйства, машиностроения и металлообработки, транспорта, строительства, нефтехимии и нефтедобычи, сферы обслуживания.</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object w:dxaOrig="7216" w:dyaOrig="5390">
          <v:shape id="_x0000_i1034" type="#_x0000_t75" style="width:339pt;height:253.5pt" o:ole="">
            <v:imagedata r:id="rId29" o:title=""/>
          </v:shape>
          <o:OLEObject Type="Embed" ProgID="PowerPoint.Slide.12" ShapeID="_x0000_i1034" DrawAspect="Content" ObjectID="_1421131395" r:id="rId30"/>
        </w:object>
      </w:r>
    </w:p>
    <w:p w:rsidR="00F73AE3" w:rsidRPr="00EA6CE2" w:rsidRDefault="00F73AE3" w:rsidP="00F73AE3">
      <w:pPr>
        <w:spacing w:after="0" w:line="240" w:lineRule="auto"/>
        <w:jc w:val="both"/>
        <w:rPr>
          <w:rFonts w:ascii="Times New Roman" w:hAnsi="Times New Roman"/>
          <w:sz w:val="24"/>
          <w:szCs w:val="24"/>
        </w:rPr>
      </w:pPr>
    </w:p>
    <w:p w:rsidR="00F73AE3" w:rsidRPr="00EA6CE2" w:rsidRDefault="00F73AE3" w:rsidP="00F73AE3">
      <w:pPr>
        <w:spacing w:after="0" w:line="240" w:lineRule="auto"/>
        <w:jc w:val="both"/>
        <w:rPr>
          <w:rFonts w:ascii="Times New Roman" w:hAnsi="Times New Roman"/>
          <w:sz w:val="24"/>
          <w:szCs w:val="24"/>
        </w:rPr>
      </w:pPr>
    </w:p>
    <w:p w:rsidR="00F73AE3" w:rsidRPr="00EA6CE2" w:rsidRDefault="00F73AE3" w:rsidP="00F73AE3">
      <w:pPr>
        <w:spacing w:after="0" w:line="240" w:lineRule="auto"/>
        <w:jc w:val="both"/>
        <w:rPr>
          <w:rFonts w:ascii="Times New Roman" w:hAnsi="Times New Roman"/>
          <w:sz w:val="24"/>
          <w:szCs w:val="24"/>
        </w:rPr>
      </w:pPr>
    </w:p>
    <w:p w:rsidR="00E25EF6"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В рамках формирования государственно-корпоративного заказа на подготовку кадров в 2012 году было заключено 1464 договора с работодателями, в том числе,  с такими крупными промышленными предприятиями республики, как МУП "</w:t>
      </w:r>
      <w:proofErr w:type="spellStart"/>
      <w:r w:rsidRPr="00EA6CE2">
        <w:rPr>
          <w:rFonts w:ascii="Times New Roman" w:hAnsi="Times New Roman"/>
          <w:sz w:val="24"/>
          <w:szCs w:val="24"/>
        </w:rPr>
        <w:t>Метроэлектротранс</w:t>
      </w:r>
      <w:proofErr w:type="spellEnd"/>
      <w:r w:rsidRPr="00EA6CE2">
        <w:rPr>
          <w:rFonts w:ascii="Times New Roman" w:hAnsi="Times New Roman"/>
          <w:sz w:val="24"/>
          <w:szCs w:val="24"/>
        </w:rPr>
        <w:t>", ОАО "Адонис", ОАО "АЛНАС", ОАО "</w:t>
      </w:r>
      <w:proofErr w:type="spellStart"/>
      <w:r w:rsidRPr="00EA6CE2">
        <w:rPr>
          <w:rFonts w:ascii="Times New Roman" w:hAnsi="Times New Roman"/>
          <w:sz w:val="24"/>
          <w:szCs w:val="24"/>
        </w:rPr>
        <w:t>Альметьевский</w:t>
      </w:r>
      <w:proofErr w:type="spellEnd"/>
      <w:r w:rsidRPr="00EA6CE2">
        <w:rPr>
          <w:rFonts w:ascii="Times New Roman" w:hAnsi="Times New Roman"/>
          <w:sz w:val="24"/>
          <w:szCs w:val="24"/>
        </w:rPr>
        <w:t xml:space="preserve"> завод "Радиоприбор", ОАО "</w:t>
      </w:r>
      <w:proofErr w:type="spellStart"/>
      <w:r w:rsidRPr="00EA6CE2">
        <w:rPr>
          <w:rFonts w:ascii="Times New Roman" w:hAnsi="Times New Roman"/>
          <w:sz w:val="24"/>
          <w:szCs w:val="24"/>
        </w:rPr>
        <w:t>Альметьевский</w:t>
      </w:r>
      <w:proofErr w:type="spellEnd"/>
      <w:r w:rsidRPr="00EA6CE2">
        <w:rPr>
          <w:rFonts w:ascii="Times New Roman" w:hAnsi="Times New Roman"/>
          <w:sz w:val="24"/>
          <w:szCs w:val="24"/>
        </w:rPr>
        <w:t xml:space="preserve"> трубный завод"</w:t>
      </w:r>
      <w:proofErr w:type="gramStart"/>
      <w:r w:rsidRPr="00EA6CE2">
        <w:rPr>
          <w:rFonts w:ascii="Times New Roman" w:hAnsi="Times New Roman"/>
          <w:sz w:val="24"/>
          <w:szCs w:val="24"/>
        </w:rPr>
        <w:t>,О</w:t>
      </w:r>
      <w:proofErr w:type="gramEnd"/>
      <w:r w:rsidRPr="00EA6CE2">
        <w:rPr>
          <w:rFonts w:ascii="Times New Roman" w:hAnsi="Times New Roman"/>
          <w:sz w:val="24"/>
          <w:szCs w:val="24"/>
        </w:rPr>
        <w:t>АО "</w:t>
      </w:r>
      <w:proofErr w:type="spellStart"/>
      <w:r w:rsidRPr="00EA6CE2">
        <w:rPr>
          <w:rFonts w:ascii="Times New Roman" w:hAnsi="Times New Roman"/>
          <w:sz w:val="24"/>
          <w:szCs w:val="24"/>
        </w:rPr>
        <w:t>Бехетле</w:t>
      </w:r>
      <w:proofErr w:type="spellEnd"/>
      <w:r w:rsidRPr="00EA6CE2">
        <w:rPr>
          <w:rFonts w:ascii="Times New Roman" w:hAnsi="Times New Roman"/>
          <w:sz w:val="24"/>
          <w:szCs w:val="24"/>
        </w:rPr>
        <w:t>", ОАО "</w:t>
      </w:r>
      <w:proofErr w:type="spellStart"/>
      <w:r w:rsidRPr="00EA6CE2">
        <w:rPr>
          <w:rFonts w:ascii="Times New Roman" w:hAnsi="Times New Roman"/>
          <w:sz w:val="24"/>
          <w:szCs w:val="24"/>
        </w:rPr>
        <w:t>Вамин</w:t>
      </w:r>
      <w:proofErr w:type="spellEnd"/>
      <w:r w:rsidRPr="00EA6CE2">
        <w:rPr>
          <w:rFonts w:ascii="Times New Roman" w:hAnsi="Times New Roman"/>
          <w:sz w:val="24"/>
          <w:szCs w:val="24"/>
        </w:rPr>
        <w:t xml:space="preserve"> Татарстан", ОАО "Завод </w:t>
      </w:r>
      <w:proofErr w:type="spellStart"/>
      <w:r w:rsidRPr="00EA6CE2">
        <w:rPr>
          <w:rFonts w:ascii="Times New Roman" w:hAnsi="Times New Roman"/>
          <w:sz w:val="24"/>
          <w:szCs w:val="24"/>
        </w:rPr>
        <w:t>Элекон</w:t>
      </w:r>
      <w:proofErr w:type="spellEnd"/>
      <w:r w:rsidRPr="00EA6CE2">
        <w:rPr>
          <w:rFonts w:ascii="Times New Roman" w:hAnsi="Times New Roman"/>
          <w:sz w:val="24"/>
          <w:szCs w:val="24"/>
        </w:rPr>
        <w:t>", ОАО "</w:t>
      </w:r>
      <w:proofErr w:type="spellStart"/>
      <w:r w:rsidRPr="00EA6CE2">
        <w:rPr>
          <w:rFonts w:ascii="Times New Roman" w:hAnsi="Times New Roman"/>
          <w:sz w:val="24"/>
          <w:szCs w:val="24"/>
        </w:rPr>
        <w:t>Зеленодольский</w:t>
      </w:r>
      <w:proofErr w:type="spellEnd"/>
      <w:r w:rsidRPr="00EA6CE2">
        <w:rPr>
          <w:rFonts w:ascii="Times New Roman" w:hAnsi="Times New Roman"/>
          <w:sz w:val="24"/>
          <w:szCs w:val="24"/>
        </w:rPr>
        <w:t xml:space="preserve"> завод имени А.М.Горького",ОАО "Казанский вертолетный завод", </w:t>
      </w:r>
      <w:proofErr w:type="gramStart"/>
      <w:r w:rsidRPr="00EA6CE2">
        <w:rPr>
          <w:rFonts w:ascii="Times New Roman" w:hAnsi="Times New Roman"/>
          <w:sz w:val="24"/>
          <w:szCs w:val="24"/>
        </w:rPr>
        <w:t>ОАО "Казанский завод синтетического каучука", ОАО "Казанский электротехнический завод", ОАО "</w:t>
      </w:r>
      <w:proofErr w:type="spellStart"/>
      <w:r w:rsidRPr="00EA6CE2">
        <w:rPr>
          <w:rFonts w:ascii="Times New Roman" w:hAnsi="Times New Roman"/>
          <w:sz w:val="24"/>
          <w:szCs w:val="24"/>
        </w:rPr>
        <w:t>Казанькомпрессормаш</w:t>
      </w:r>
      <w:proofErr w:type="spellEnd"/>
      <w:r w:rsidRPr="00EA6CE2">
        <w:rPr>
          <w:rFonts w:ascii="Times New Roman" w:hAnsi="Times New Roman"/>
          <w:sz w:val="24"/>
          <w:szCs w:val="24"/>
        </w:rPr>
        <w:t>", ОАО "</w:t>
      </w:r>
      <w:proofErr w:type="spellStart"/>
      <w:r w:rsidRPr="00EA6CE2">
        <w:rPr>
          <w:rFonts w:ascii="Times New Roman" w:hAnsi="Times New Roman"/>
          <w:sz w:val="24"/>
          <w:szCs w:val="24"/>
        </w:rPr>
        <w:t>Каздорстрой</w:t>
      </w:r>
      <w:proofErr w:type="spellEnd"/>
      <w:r w:rsidRPr="00EA6CE2">
        <w:rPr>
          <w:rFonts w:ascii="Times New Roman" w:hAnsi="Times New Roman"/>
          <w:sz w:val="24"/>
          <w:szCs w:val="24"/>
        </w:rPr>
        <w:t>", ОАО "КАМАЗ", ОАО "КАПО им. С.П.Горбунова", ОАО "КМПО", ОАО "Нижнекамский завод технического углерода", ОАО "</w:t>
      </w:r>
      <w:proofErr w:type="spellStart"/>
      <w:r w:rsidRPr="00EA6CE2">
        <w:rPr>
          <w:rFonts w:ascii="Times New Roman" w:hAnsi="Times New Roman"/>
          <w:sz w:val="24"/>
          <w:szCs w:val="24"/>
        </w:rPr>
        <w:t>Нижнекамскнефтехим</w:t>
      </w:r>
      <w:proofErr w:type="spellEnd"/>
      <w:r w:rsidRPr="00EA6CE2">
        <w:rPr>
          <w:rFonts w:ascii="Times New Roman" w:hAnsi="Times New Roman"/>
          <w:sz w:val="24"/>
          <w:szCs w:val="24"/>
        </w:rPr>
        <w:t>", ОАО "</w:t>
      </w:r>
      <w:proofErr w:type="spellStart"/>
      <w:r w:rsidRPr="00EA6CE2">
        <w:rPr>
          <w:rFonts w:ascii="Times New Roman" w:hAnsi="Times New Roman"/>
          <w:sz w:val="24"/>
          <w:szCs w:val="24"/>
        </w:rPr>
        <w:t>Нэфис</w:t>
      </w:r>
      <w:proofErr w:type="spellEnd"/>
      <w:r w:rsidRPr="00EA6CE2">
        <w:rPr>
          <w:rFonts w:ascii="Times New Roman" w:hAnsi="Times New Roman"/>
          <w:sz w:val="24"/>
          <w:szCs w:val="24"/>
        </w:rPr>
        <w:t xml:space="preserve"> </w:t>
      </w:r>
      <w:proofErr w:type="spellStart"/>
      <w:r w:rsidRPr="00EA6CE2">
        <w:rPr>
          <w:rFonts w:ascii="Times New Roman" w:hAnsi="Times New Roman"/>
          <w:sz w:val="24"/>
          <w:szCs w:val="24"/>
        </w:rPr>
        <w:t>косметикс</w:t>
      </w:r>
      <w:proofErr w:type="spellEnd"/>
      <w:r w:rsidRPr="00EA6CE2">
        <w:rPr>
          <w:rFonts w:ascii="Times New Roman" w:hAnsi="Times New Roman"/>
          <w:sz w:val="24"/>
          <w:szCs w:val="24"/>
        </w:rPr>
        <w:t xml:space="preserve">", ОАО "ПО </w:t>
      </w:r>
      <w:proofErr w:type="spellStart"/>
      <w:r w:rsidRPr="00EA6CE2">
        <w:rPr>
          <w:rFonts w:ascii="Times New Roman" w:hAnsi="Times New Roman"/>
          <w:sz w:val="24"/>
          <w:szCs w:val="24"/>
        </w:rPr>
        <w:t>ЕлАЗ</w:t>
      </w:r>
      <w:proofErr w:type="spellEnd"/>
      <w:r w:rsidRPr="00EA6CE2">
        <w:rPr>
          <w:rFonts w:ascii="Times New Roman" w:hAnsi="Times New Roman"/>
          <w:sz w:val="24"/>
          <w:szCs w:val="24"/>
        </w:rPr>
        <w:t>", ОАО "</w:t>
      </w:r>
      <w:proofErr w:type="spellStart"/>
      <w:r w:rsidRPr="00EA6CE2">
        <w:rPr>
          <w:rFonts w:ascii="Times New Roman" w:hAnsi="Times New Roman"/>
          <w:sz w:val="24"/>
          <w:szCs w:val="24"/>
        </w:rPr>
        <w:t>ПОЗиС</w:t>
      </w:r>
      <w:proofErr w:type="spellEnd"/>
      <w:r w:rsidRPr="00EA6CE2">
        <w:rPr>
          <w:rFonts w:ascii="Times New Roman" w:hAnsi="Times New Roman"/>
          <w:sz w:val="24"/>
          <w:szCs w:val="24"/>
        </w:rPr>
        <w:t>", ОАО "Радиоприбор", ОАО "Судоходная компания "</w:t>
      </w:r>
      <w:proofErr w:type="spellStart"/>
      <w:r w:rsidRPr="00EA6CE2">
        <w:rPr>
          <w:rFonts w:ascii="Times New Roman" w:hAnsi="Times New Roman"/>
          <w:sz w:val="24"/>
          <w:szCs w:val="24"/>
        </w:rPr>
        <w:t>Татфлот</w:t>
      </w:r>
      <w:proofErr w:type="spellEnd"/>
      <w:r w:rsidRPr="00EA6CE2">
        <w:rPr>
          <w:rFonts w:ascii="Times New Roman" w:hAnsi="Times New Roman"/>
          <w:sz w:val="24"/>
          <w:szCs w:val="24"/>
        </w:rPr>
        <w:t>", ОАО "ТАИФ-НК", ОАО "ТАНЕКО", ОАО "</w:t>
      </w:r>
      <w:proofErr w:type="spellStart"/>
      <w:r w:rsidRPr="00EA6CE2">
        <w:rPr>
          <w:rFonts w:ascii="Times New Roman" w:hAnsi="Times New Roman"/>
          <w:sz w:val="24"/>
          <w:szCs w:val="24"/>
        </w:rPr>
        <w:t>Татнефть</w:t>
      </w:r>
      <w:proofErr w:type="spellEnd"/>
      <w:r w:rsidRPr="00EA6CE2">
        <w:rPr>
          <w:rFonts w:ascii="Times New Roman" w:hAnsi="Times New Roman"/>
          <w:sz w:val="24"/>
          <w:szCs w:val="24"/>
        </w:rPr>
        <w:t>", ОАО "Химзавод им. Л.Я. Карпова", ОАО "</w:t>
      </w:r>
      <w:proofErr w:type="spellStart"/>
      <w:r w:rsidRPr="00EA6CE2">
        <w:rPr>
          <w:rFonts w:ascii="Times New Roman" w:hAnsi="Times New Roman"/>
          <w:sz w:val="24"/>
          <w:szCs w:val="24"/>
        </w:rPr>
        <w:t>Элекон</w:t>
      </w:r>
      <w:proofErr w:type="spellEnd"/>
      <w:r w:rsidRPr="00EA6CE2">
        <w:rPr>
          <w:rFonts w:ascii="Times New Roman" w:hAnsi="Times New Roman"/>
          <w:sz w:val="24"/>
          <w:szCs w:val="24"/>
        </w:rPr>
        <w:t>", ОАО "Электроприбор</w:t>
      </w:r>
      <w:proofErr w:type="gramEnd"/>
      <w:r w:rsidRPr="00EA6CE2">
        <w:rPr>
          <w:rFonts w:ascii="Times New Roman" w:hAnsi="Times New Roman"/>
          <w:sz w:val="24"/>
          <w:szCs w:val="24"/>
        </w:rPr>
        <w:t>", ОАО «Адонис», ООО "</w:t>
      </w:r>
      <w:proofErr w:type="spellStart"/>
      <w:r w:rsidRPr="00EA6CE2">
        <w:rPr>
          <w:rFonts w:ascii="Times New Roman" w:hAnsi="Times New Roman"/>
          <w:sz w:val="24"/>
          <w:szCs w:val="24"/>
        </w:rPr>
        <w:t>Менделеевсказот</w:t>
      </w:r>
      <w:proofErr w:type="spellEnd"/>
      <w:r w:rsidRPr="00EA6CE2">
        <w:rPr>
          <w:rFonts w:ascii="Times New Roman" w:hAnsi="Times New Roman"/>
          <w:sz w:val="24"/>
          <w:szCs w:val="24"/>
        </w:rPr>
        <w:t>", ООО "Нижнекамский завод грузовых шин", ООО "</w:t>
      </w:r>
      <w:proofErr w:type="spellStart"/>
      <w:r w:rsidRPr="00EA6CE2">
        <w:rPr>
          <w:rFonts w:ascii="Times New Roman" w:hAnsi="Times New Roman"/>
          <w:sz w:val="24"/>
          <w:szCs w:val="24"/>
        </w:rPr>
        <w:t>Татазот</w:t>
      </w:r>
      <w:proofErr w:type="spellEnd"/>
      <w:r w:rsidRPr="00EA6CE2">
        <w:rPr>
          <w:rFonts w:ascii="Times New Roman" w:hAnsi="Times New Roman"/>
          <w:sz w:val="24"/>
          <w:szCs w:val="24"/>
        </w:rPr>
        <w:t xml:space="preserve">" и другими. </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lastRenderedPageBreak/>
        <w:t xml:space="preserve">В 2012 году, учитывая актуальность проблемы трудоустройства выпускников образовательных учреждений, Министерством труда, занятости и социальной защиты Республики Татарстан проведен мониторинг трудоустройства выпускников подведомственных учреждений профессионального образования. </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Мониторинг показал, что из общей численности выпускников:</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57,9 % - трудоустроились по полученной профессии;</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7,1% - трудоустроились не по профессии;</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15,8% - продолжили обучение;</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15,0% - подлежат призыву в ряды Вооруженных Сил  РФ;</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2,1% - декретный отпуск;</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2,1% - не трудоустроились.</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Таким образом, доля занятых выпускников подведомственных учреждений составляет 97,9%.</w:t>
      </w:r>
    </w:p>
    <w:p w:rsidR="00F73AE3" w:rsidRPr="00EA6CE2" w:rsidRDefault="00F73AE3" w:rsidP="00F73AE3">
      <w:pPr>
        <w:spacing w:after="0" w:line="240" w:lineRule="auto"/>
        <w:jc w:val="both"/>
        <w:rPr>
          <w:rFonts w:ascii="Times New Roman" w:hAnsi="Times New Roman"/>
          <w:sz w:val="24"/>
          <w:szCs w:val="24"/>
        </w:rPr>
      </w:pPr>
    </w:p>
    <w:p w:rsidR="00F73AE3" w:rsidRPr="00EA6CE2" w:rsidRDefault="00F73AE3" w:rsidP="00F73AE3">
      <w:pPr>
        <w:spacing w:after="0" w:line="240" w:lineRule="auto"/>
        <w:jc w:val="both"/>
        <w:rPr>
          <w:rFonts w:ascii="Times New Roman" w:hAnsi="Times New Roman"/>
          <w:b/>
          <w:sz w:val="24"/>
          <w:szCs w:val="24"/>
        </w:rPr>
      </w:pPr>
      <w:r w:rsidRPr="00EA6CE2">
        <w:rPr>
          <w:rFonts w:ascii="Times New Roman" w:hAnsi="Times New Roman"/>
          <w:b/>
          <w:sz w:val="24"/>
          <w:szCs w:val="24"/>
        </w:rPr>
        <w:t>Реформирование</w:t>
      </w:r>
    </w:p>
    <w:p w:rsidR="00F73AE3" w:rsidRPr="00EA6CE2" w:rsidRDefault="00F73AE3" w:rsidP="00F73AE3">
      <w:pPr>
        <w:spacing w:after="0" w:line="240" w:lineRule="auto"/>
        <w:jc w:val="both"/>
        <w:rPr>
          <w:rFonts w:ascii="Times New Roman" w:hAnsi="Times New Roman"/>
          <w:b/>
          <w:sz w:val="24"/>
          <w:szCs w:val="24"/>
        </w:rPr>
      </w:pPr>
      <w:r w:rsidRPr="00EA6CE2">
        <w:rPr>
          <w:rFonts w:ascii="Times New Roman" w:hAnsi="Times New Roman"/>
          <w:b/>
          <w:sz w:val="24"/>
          <w:szCs w:val="24"/>
        </w:rPr>
        <w:t>системы начального и среднего профессионального образования</w:t>
      </w:r>
    </w:p>
    <w:p w:rsidR="00F73AE3" w:rsidRPr="00EA6CE2" w:rsidRDefault="00F73AE3" w:rsidP="00F73AE3">
      <w:pPr>
        <w:spacing w:after="0" w:line="240" w:lineRule="auto"/>
        <w:jc w:val="both"/>
        <w:rPr>
          <w:rFonts w:ascii="Times New Roman" w:hAnsi="Times New Roman"/>
          <w:sz w:val="24"/>
          <w:szCs w:val="24"/>
        </w:rPr>
      </w:pPr>
    </w:p>
    <w:p w:rsidR="00F73AE3" w:rsidRPr="00EA6CE2" w:rsidRDefault="00F73AE3" w:rsidP="00F73AE3">
      <w:pPr>
        <w:spacing w:after="0" w:line="240" w:lineRule="auto"/>
        <w:jc w:val="both"/>
        <w:rPr>
          <w:rFonts w:ascii="Times New Roman" w:hAnsi="Times New Roman"/>
          <w:sz w:val="24"/>
          <w:szCs w:val="24"/>
        </w:rPr>
      </w:pP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xml:space="preserve">В рамках решений Правительства Республики Татарстан Министерством труда, занятости и социальной защиты Республики Татарстан в 2012 году продолжалась работа по оптимизации и укрупнению системы подведомственных образовательных учреждений, модернизацию материально-технического обеспечения образовательного процесса, повышение качества подготовки кадров. </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xml:space="preserve">Подготовлены 24 проекта постановления Кабинета Министров Республики Татарстан, которыми предусмотрена ликвидация 1-го и реорганизация 17-ти учреждений начального профессионального образования путем их присоединения к профильным эффективно действующим учреждениям среднего профессионального образования. В 2013 году планируется  укрупнение учреждений среднего профессионального образования путем присоединения к ним учреждений начального профессионального образования и создания на их базе отраслевых многофункциональных ресурсных  центров. Предусматривается создание </w:t>
      </w:r>
      <w:r w:rsidR="00AB21BA">
        <w:rPr>
          <w:rFonts w:ascii="Times New Roman" w:hAnsi="Times New Roman"/>
          <w:sz w:val="24"/>
          <w:szCs w:val="24"/>
        </w:rPr>
        <w:t>20</w:t>
      </w:r>
      <w:r w:rsidRPr="00EA6CE2">
        <w:rPr>
          <w:rFonts w:ascii="Times New Roman" w:hAnsi="Times New Roman"/>
          <w:sz w:val="24"/>
          <w:szCs w:val="24"/>
        </w:rPr>
        <w:t xml:space="preserve"> отраслевых центров прикладных квалификаций для таких отраслей экономики, как машиностроение и авиастроение, химия и нефтехимия, строительство и ЖКХ, транспорт, агропромышленный комплекс, сфера обслуживания и сервис.</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Отраслевые центры прикладных квалификаций будут реализовывать:</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основные образовательные программы среднего профессионального образования, профессиональную подготовку по рабочим профессиям;</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краткосрочную курсовую подготовку, переподготовку, повышение квалификации;</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xml:space="preserve">- организацию и осуществление повышения квалификации преподавателей и мастеров производственного </w:t>
      </w:r>
      <w:proofErr w:type="gramStart"/>
      <w:r w:rsidRPr="00EA6CE2">
        <w:rPr>
          <w:rFonts w:ascii="Times New Roman" w:hAnsi="Times New Roman"/>
          <w:sz w:val="24"/>
          <w:szCs w:val="24"/>
        </w:rPr>
        <w:t>обучения учебных заведений по профилю</w:t>
      </w:r>
      <w:proofErr w:type="gramEnd"/>
      <w:r w:rsidRPr="00EA6CE2">
        <w:rPr>
          <w:rFonts w:ascii="Times New Roman" w:hAnsi="Times New Roman"/>
          <w:sz w:val="24"/>
          <w:szCs w:val="24"/>
        </w:rPr>
        <w:t xml:space="preserve"> ресурсного центра.</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На укрепление материально-технической базы (капитальный ремонт и реконструкцию)  учреждений профессионального образования 2012 году было направлено около 110 млн</w:t>
      </w:r>
      <w:proofErr w:type="gramStart"/>
      <w:r w:rsidRPr="00EA6CE2">
        <w:rPr>
          <w:rFonts w:ascii="Times New Roman" w:hAnsi="Times New Roman"/>
          <w:sz w:val="24"/>
          <w:szCs w:val="24"/>
        </w:rPr>
        <w:t>.р</w:t>
      </w:r>
      <w:proofErr w:type="gramEnd"/>
      <w:r w:rsidRPr="00EA6CE2">
        <w:rPr>
          <w:rFonts w:ascii="Times New Roman" w:hAnsi="Times New Roman"/>
          <w:sz w:val="24"/>
          <w:szCs w:val="24"/>
        </w:rPr>
        <w:t>ублей.</w:t>
      </w:r>
    </w:p>
    <w:p w:rsidR="00F73AE3" w:rsidRPr="00EA6CE2" w:rsidRDefault="00F73AE3" w:rsidP="00F73AE3">
      <w:pPr>
        <w:spacing w:after="0" w:line="240" w:lineRule="auto"/>
        <w:jc w:val="both"/>
        <w:rPr>
          <w:rFonts w:ascii="Times New Roman" w:hAnsi="Times New Roman"/>
          <w:sz w:val="24"/>
          <w:szCs w:val="24"/>
        </w:rPr>
      </w:pPr>
    </w:p>
    <w:p w:rsidR="00F73AE3" w:rsidRPr="00EA6CE2" w:rsidRDefault="00F73AE3" w:rsidP="00F73AE3">
      <w:pPr>
        <w:spacing w:after="0" w:line="240" w:lineRule="auto"/>
        <w:jc w:val="both"/>
        <w:rPr>
          <w:rFonts w:ascii="Times New Roman" w:hAnsi="Times New Roman"/>
          <w:b/>
          <w:sz w:val="24"/>
          <w:szCs w:val="24"/>
        </w:rPr>
      </w:pPr>
      <w:proofErr w:type="spellStart"/>
      <w:r w:rsidRPr="00EA6CE2">
        <w:rPr>
          <w:rFonts w:ascii="Times New Roman" w:hAnsi="Times New Roman"/>
          <w:b/>
          <w:sz w:val="24"/>
          <w:szCs w:val="24"/>
        </w:rPr>
        <w:t>WorldSkills</w:t>
      </w:r>
      <w:proofErr w:type="spellEnd"/>
    </w:p>
    <w:p w:rsidR="00F73AE3" w:rsidRPr="00EA6CE2" w:rsidRDefault="00F73AE3" w:rsidP="00F73AE3">
      <w:pPr>
        <w:spacing w:after="0" w:line="240" w:lineRule="auto"/>
        <w:jc w:val="both"/>
        <w:rPr>
          <w:rFonts w:ascii="Times New Roman" w:hAnsi="Times New Roman"/>
          <w:sz w:val="24"/>
          <w:szCs w:val="24"/>
        </w:rPr>
      </w:pP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xml:space="preserve">17 мая 2012 года Россия официально вступила в международную организацию </w:t>
      </w:r>
      <w:proofErr w:type="spellStart"/>
      <w:r w:rsidRPr="00EA6CE2">
        <w:rPr>
          <w:rFonts w:ascii="Times New Roman" w:hAnsi="Times New Roman"/>
          <w:sz w:val="24"/>
          <w:szCs w:val="24"/>
        </w:rPr>
        <w:t>WorldSkills</w:t>
      </w:r>
      <w:proofErr w:type="spellEnd"/>
      <w:r w:rsidRPr="00EA6CE2">
        <w:rPr>
          <w:rFonts w:ascii="Times New Roman" w:hAnsi="Times New Roman"/>
          <w:sz w:val="24"/>
          <w:szCs w:val="24"/>
        </w:rPr>
        <w:t xml:space="preserve"> </w:t>
      </w:r>
      <w:proofErr w:type="spellStart"/>
      <w:r w:rsidRPr="00EA6CE2">
        <w:rPr>
          <w:rFonts w:ascii="Times New Roman" w:hAnsi="Times New Roman"/>
          <w:sz w:val="24"/>
          <w:szCs w:val="24"/>
        </w:rPr>
        <w:t>International</w:t>
      </w:r>
      <w:proofErr w:type="spellEnd"/>
      <w:r w:rsidRPr="00EA6CE2">
        <w:rPr>
          <w:rFonts w:ascii="Times New Roman" w:hAnsi="Times New Roman"/>
          <w:sz w:val="24"/>
          <w:szCs w:val="24"/>
        </w:rPr>
        <w:t xml:space="preserve">. </w:t>
      </w:r>
      <w:proofErr w:type="spellStart"/>
      <w:r w:rsidRPr="00EA6CE2">
        <w:rPr>
          <w:rFonts w:ascii="Times New Roman" w:hAnsi="Times New Roman"/>
          <w:sz w:val="24"/>
          <w:szCs w:val="24"/>
        </w:rPr>
        <w:t>WorldSkills</w:t>
      </w:r>
      <w:proofErr w:type="spellEnd"/>
      <w:r w:rsidRPr="00EA6CE2">
        <w:rPr>
          <w:rFonts w:ascii="Times New Roman" w:hAnsi="Times New Roman"/>
          <w:sz w:val="24"/>
          <w:szCs w:val="24"/>
        </w:rPr>
        <w:t xml:space="preserve"> </w:t>
      </w:r>
      <w:proofErr w:type="spellStart"/>
      <w:r w:rsidRPr="00EA6CE2">
        <w:rPr>
          <w:rFonts w:ascii="Times New Roman" w:hAnsi="Times New Roman"/>
          <w:sz w:val="24"/>
          <w:szCs w:val="24"/>
        </w:rPr>
        <w:t>International</w:t>
      </w:r>
      <w:proofErr w:type="spellEnd"/>
      <w:r w:rsidRPr="00EA6CE2">
        <w:rPr>
          <w:rFonts w:ascii="Times New Roman" w:hAnsi="Times New Roman"/>
          <w:sz w:val="24"/>
          <w:szCs w:val="24"/>
        </w:rPr>
        <w:t xml:space="preserve"> (WSI) – это международная некоммерческая ассоциация, целью которой является повышение статуса и стандартов профессиональной подготовки и квалификации по всему миру. Министерство труда, занятости и социальной защиты Республики Татарстан выступило инициатором проекта по проведению в городе Казани национального чемпионата профессионального мастерства </w:t>
      </w:r>
      <w:proofErr w:type="spellStart"/>
      <w:r w:rsidRPr="00EA6CE2">
        <w:rPr>
          <w:rFonts w:ascii="Times New Roman" w:hAnsi="Times New Roman"/>
          <w:sz w:val="24"/>
          <w:szCs w:val="24"/>
        </w:rPr>
        <w:t>WorldSkills</w:t>
      </w:r>
      <w:proofErr w:type="spellEnd"/>
      <w:r w:rsidRPr="00EA6CE2">
        <w:rPr>
          <w:rFonts w:ascii="Times New Roman" w:hAnsi="Times New Roman"/>
          <w:sz w:val="24"/>
          <w:szCs w:val="24"/>
        </w:rPr>
        <w:t xml:space="preserve"> – </w:t>
      </w:r>
      <w:proofErr w:type="spellStart"/>
      <w:r w:rsidRPr="00EA6CE2">
        <w:rPr>
          <w:rFonts w:ascii="Times New Roman" w:hAnsi="Times New Roman"/>
          <w:sz w:val="24"/>
          <w:szCs w:val="24"/>
        </w:rPr>
        <w:t>Russia</w:t>
      </w:r>
      <w:proofErr w:type="spellEnd"/>
      <w:r w:rsidRPr="00EA6CE2">
        <w:rPr>
          <w:rFonts w:ascii="Times New Roman" w:hAnsi="Times New Roman"/>
          <w:sz w:val="24"/>
          <w:szCs w:val="24"/>
        </w:rPr>
        <w:t xml:space="preserve">. Планируется проведение мирового этапа чемпионата </w:t>
      </w:r>
      <w:proofErr w:type="spellStart"/>
      <w:r w:rsidRPr="00EA6CE2">
        <w:rPr>
          <w:rFonts w:ascii="Times New Roman" w:hAnsi="Times New Roman"/>
          <w:sz w:val="24"/>
          <w:szCs w:val="24"/>
        </w:rPr>
        <w:t>WorldSkills</w:t>
      </w:r>
      <w:proofErr w:type="spellEnd"/>
      <w:r w:rsidRPr="00EA6CE2">
        <w:rPr>
          <w:rFonts w:ascii="Times New Roman" w:hAnsi="Times New Roman"/>
          <w:sz w:val="24"/>
          <w:szCs w:val="24"/>
        </w:rPr>
        <w:t xml:space="preserve"> в Казани в 2019 году. В </w:t>
      </w:r>
      <w:r w:rsidRPr="00EA6CE2">
        <w:rPr>
          <w:rFonts w:ascii="Times New Roman" w:hAnsi="Times New Roman"/>
          <w:sz w:val="24"/>
          <w:szCs w:val="24"/>
        </w:rPr>
        <w:lastRenderedPageBreak/>
        <w:t>ноябре 2012 года в Москве прошел</w:t>
      </w:r>
      <w:proofErr w:type="gramStart"/>
      <w:r w:rsidRPr="00EA6CE2">
        <w:rPr>
          <w:rFonts w:ascii="Times New Roman" w:hAnsi="Times New Roman"/>
          <w:sz w:val="24"/>
          <w:szCs w:val="24"/>
        </w:rPr>
        <w:t xml:space="preserve"> П</w:t>
      </w:r>
      <w:proofErr w:type="gramEnd"/>
      <w:r w:rsidRPr="00EA6CE2">
        <w:rPr>
          <w:rFonts w:ascii="Times New Roman" w:hAnsi="Times New Roman"/>
          <w:sz w:val="24"/>
          <w:szCs w:val="24"/>
        </w:rPr>
        <w:t xml:space="preserve">ервый открытый чемпионат Москвы </w:t>
      </w:r>
      <w:proofErr w:type="spellStart"/>
      <w:r w:rsidRPr="00EA6CE2">
        <w:rPr>
          <w:rFonts w:ascii="Times New Roman" w:hAnsi="Times New Roman"/>
          <w:sz w:val="24"/>
          <w:szCs w:val="24"/>
          <w:lang w:val="en-US"/>
        </w:rPr>
        <w:t>WorldSkills</w:t>
      </w:r>
      <w:proofErr w:type="spellEnd"/>
      <w:r w:rsidRPr="00EA6CE2">
        <w:rPr>
          <w:rFonts w:ascii="Times New Roman" w:hAnsi="Times New Roman"/>
          <w:sz w:val="24"/>
          <w:szCs w:val="24"/>
        </w:rPr>
        <w:t xml:space="preserve"> </w:t>
      </w:r>
      <w:r w:rsidRPr="00EA6CE2">
        <w:rPr>
          <w:rFonts w:ascii="Times New Roman" w:hAnsi="Times New Roman"/>
          <w:sz w:val="24"/>
          <w:szCs w:val="24"/>
          <w:lang w:val="en-US"/>
        </w:rPr>
        <w:t>Russia</w:t>
      </w:r>
      <w:r w:rsidRPr="00EA6CE2">
        <w:rPr>
          <w:rFonts w:ascii="Times New Roman" w:hAnsi="Times New Roman"/>
          <w:sz w:val="24"/>
          <w:szCs w:val="24"/>
        </w:rPr>
        <w:t xml:space="preserve"> – 2012. Общее количество участников чемпионата – 422 человека из 18 регионов РФ. Соревнования проводились по 16 компетенциям (направлениям). Делегация Республики Татарстан в количестве 54 учащихся учреждений начального и среднего профессионального образования приняла участие в 8 из них (сварка, парикмахерское дело, плиточные работы, столярные работы, кладка кирпича, автомеханика, поварское дело, системное администрирование </w:t>
      </w:r>
      <w:proofErr w:type="spellStart"/>
      <w:r w:rsidRPr="00EA6CE2">
        <w:rPr>
          <w:rFonts w:ascii="Times New Roman" w:hAnsi="Times New Roman"/>
          <w:sz w:val="24"/>
          <w:szCs w:val="24"/>
        </w:rPr>
        <w:t>ИТ-сетей</w:t>
      </w:r>
      <w:proofErr w:type="spellEnd"/>
      <w:r w:rsidRPr="00EA6CE2">
        <w:rPr>
          <w:rFonts w:ascii="Times New Roman" w:hAnsi="Times New Roman"/>
          <w:sz w:val="24"/>
          <w:szCs w:val="24"/>
        </w:rPr>
        <w:t>). В общем командном зачете наша делегация занята второе место. В 5 компетенциях 17 татарстанских учащихся заняли призовые места. В компетенциях «парикмахерское дело» и «кладка кирпича» учащиеся Республики Татарстан заняли все три призовых места.</w:t>
      </w:r>
    </w:p>
    <w:p w:rsidR="00F73AE3" w:rsidRPr="00EA6CE2" w:rsidRDefault="00F73AE3" w:rsidP="00F73AE3">
      <w:pPr>
        <w:spacing w:after="0" w:line="240" w:lineRule="auto"/>
        <w:jc w:val="both"/>
        <w:rPr>
          <w:rFonts w:ascii="Times New Roman" w:hAnsi="Times New Roman"/>
          <w:sz w:val="24"/>
          <w:szCs w:val="24"/>
        </w:rPr>
      </w:pPr>
    </w:p>
    <w:p w:rsidR="00F73AE3" w:rsidRPr="00EA6CE2" w:rsidRDefault="00F73AE3" w:rsidP="00F73AE3">
      <w:pPr>
        <w:spacing w:after="0" w:line="240" w:lineRule="auto"/>
        <w:jc w:val="both"/>
        <w:rPr>
          <w:rFonts w:ascii="Times New Roman" w:hAnsi="Times New Roman"/>
          <w:b/>
          <w:sz w:val="24"/>
          <w:szCs w:val="24"/>
        </w:rPr>
      </w:pPr>
      <w:r w:rsidRPr="00EA6CE2">
        <w:rPr>
          <w:rFonts w:ascii="Times New Roman" w:hAnsi="Times New Roman"/>
          <w:b/>
          <w:sz w:val="24"/>
          <w:szCs w:val="24"/>
        </w:rPr>
        <w:t>Система оценки качества образования</w:t>
      </w:r>
    </w:p>
    <w:p w:rsidR="00F73AE3" w:rsidRPr="00EA6CE2" w:rsidRDefault="00F73AE3" w:rsidP="00F73AE3">
      <w:pPr>
        <w:spacing w:after="0" w:line="240" w:lineRule="auto"/>
        <w:jc w:val="both"/>
        <w:rPr>
          <w:rFonts w:ascii="Times New Roman" w:hAnsi="Times New Roman"/>
          <w:b/>
          <w:sz w:val="24"/>
          <w:szCs w:val="24"/>
        </w:rPr>
      </w:pP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Во исполнение Указа Президента Российской Федерации от 7 мая 2012  года       № 597 «О мероприятиях по реализации государственной социальной политики» на уровне Российской Федерации предпринимаются первые шаги  по вопросу создания системы оценки и сертификации профессиональных квалификаций выпускников учреждений профессионального образования.</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В Республике Татарстан работа по внедрению  системы  стандартизации в регионе начата с 2009 года на базе ГОУ ДПО «Региональное агентство развития квалификаций» (дале</w:t>
      </w:r>
      <w:proofErr w:type="gramStart"/>
      <w:r w:rsidRPr="00EA6CE2">
        <w:rPr>
          <w:rFonts w:ascii="Times New Roman" w:hAnsi="Times New Roman"/>
          <w:sz w:val="24"/>
          <w:szCs w:val="24"/>
        </w:rPr>
        <w:t>е-</w:t>
      </w:r>
      <w:proofErr w:type="gramEnd"/>
      <w:r w:rsidRPr="00EA6CE2">
        <w:rPr>
          <w:rFonts w:ascii="Times New Roman" w:hAnsi="Times New Roman"/>
          <w:sz w:val="24"/>
          <w:szCs w:val="24"/>
        </w:rPr>
        <w:t xml:space="preserve"> РАРК) . В настоящее время: </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начата работа по разработке профессиональных стандартов по следующим  видам экономической деятельности: деятельность в области фармации; деятельность в области ЖКХ; деятельность в области туризма; деятельность гостиниц;</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сформирована  рабочая  экспертная   группа по разработке профессиональных стандартов, в состав которых вошли  представители профессиональных сообществ и представители работодателей;</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проведены опросы на предприятиях  по вопросу разработки единиц профессионального стандарта;</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разработаны  проекты  функциональных  карт и первичного списка знаний, умений и ключевых компетенций, необходимых для последующего опроса/анкетирования;</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-разработан  проект профессионального стандарта  «Предоставление транспортных услуг населению на городском наземном электротранспорте»  (водитель трамвая, водитель троллейбуса, водитель-наставник), который прошел экспертизу в Национальном агентстве развития квалификаций;</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xml:space="preserve">- РАРК </w:t>
      </w:r>
      <w:proofErr w:type="gramStart"/>
      <w:r w:rsidRPr="00EA6CE2">
        <w:rPr>
          <w:rFonts w:ascii="Times New Roman" w:hAnsi="Times New Roman"/>
          <w:sz w:val="24"/>
          <w:szCs w:val="24"/>
        </w:rPr>
        <w:t>наделен</w:t>
      </w:r>
      <w:proofErr w:type="gramEnd"/>
      <w:r w:rsidRPr="00EA6CE2">
        <w:rPr>
          <w:rFonts w:ascii="Times New Roman" w:hAnsi="Times New Roman"/>
          <w:sz w:val="24"/>
          <w:szCs w:val="24"/>
        </w:rPr>
        <w:t xml:space="preserve"> полномочиями экспертно-методического центра системы оценки и сертификации квалификаций выпускников образовательных учреждений профессионального образования, других категорий граждан, прошедших профессиональное обучение в различных формах по виду деятельности «Деятельность ресторанов».</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организован и проведён мониторинг уровня и качества подготовки специалистов учреждениями профессионального образования,  систем оценки качества, применяемых на предприятиях, а также степени их готовности к внедрению сертификации квалификаций персонала.</w:t>
      </w:r>
    </w:p>
    <w:p w:rsidR="00F73AE3" w:rsidRPr="00EA6CE2" w:rsidRDefault="00F73AE3" w:rsidP="00F73AE3">
      <w:pPr>
        <w:spacing w:after="0" w:line="240" w:lineRule="auto"/>
        <w:jc w:val="both"/>
        <w:rPr>
          <w:rFonts w:ascii="Times New Roman" w:hAnsi="Times New Roman"/>
          <w:sz w:val="24"/>
          <w:szCs w:val="24"/>
        </w:rPr>
      </w:pPr>
    </w:p>
    <w:p w:rsidR="00F73AE3" w:rsidRPr="00EA6CE2" w:rsidRDefault="00F73AE3" w:rsidP="00F73AE3">
      <w:pPr>
        <w:spacing w:after="0" w:line="240" w:lineRule="auto"/>
        <w:jc w:val="both"/>
        <w:rPr>
          <w:rFonts w:ascii="Times New Roman" w:hAnsi="Times New Roman"/>
          <w:sz w:val="24"/>
          <w:szCs w:val="24"/>
        </w:rPr>
      </w:pPr>
    </w:p>
    <w:p w:rsidR="00F73AE3" w:rsidRPr="00EA6CE2" w:rsidRDefault="00F73AE3" w:rsidP="00F73AE3">
      <w:pPr>
        <w:spacing w:after="0" w:line="240" w:lineRule="auto"/>
        <w:jc w:val="both"/>
        <w:rPr>
          <w:rFonts w:ascii="Times New Roman" w:hAnsi="Times New Roman"/>
          <w:b/>
          <w:sz w:val="24"/>
          <w:szCs w:val="24"/>
        </w:rPr>
      </w:pPr>
      <w:r w:rsidRPr="00EA6CE2">
        <w:rPr>
          <w:rFonts w:ascii="Times New Roman" w:hAnsi="Times New Roman"/>
          <w:b/>
          <w:sz w:val="24"/>
          <w:szCs w:val="24"/>
        </w:rPr>
        <w:t>Организация воспитательного процесса в учреждениях профессионального образования</w:t>
      </w:r>
    </w:p>
    <w:p w:rsidR="00F73AE3" w:rsidRPr="00EA6CE2" w:rsidRDefault="00F73AE3" w:rsidP="00F73AE3">
      <w:pPr>
        <w:spacing w:after="0" w:line="240" w:lineRule="auto"/>
        <w:jc w:val="both"/>
        <w:rPr>
          <w:rFonts w:ascii="Times New Roman" w:hAnsi="Times New Roman"/>
          <w:sz w:val="24"/>
          <w:szCs w:val="24"/>
        </w:rPr>
      </w:pP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xml:space="preserve">Организация воспитательного процесса в подведомственных учреждениях профессионального образования - обязательный компонент педагогического процесса для развития личности, ее идейно-нравственному становлению и подготовки к жизненному и </w:t>
      </w:r>
      <w:r w:rsidRPr="00EA6CE2">
        <w:rPr>
          <w:rFonts w:ascii="Times New Roman" w:hAnsi="Times New Roman"/>
          <w:sz w:val="24"/>
          <w:szCs w:val="24"/>
        </w:rPr>
        <w:lastRenderedPageBreak/>
        <w:t xml:space="preserve">профессиональному самоопределению.  </w:t>
      </w:r>
      <w:proofErr w:type="gramStart"/>
      <w:r w:rsidRPr="00EA6CE2">
        <w:rPr>
          <w:rFonts w:ascii="Times New Roman" w:hAnsi="Times New Roman"/>
          <w:sz w:val="24"/>
          <w:szCs w:val="24"/>
        </w:rPr>
        <w:t xml:space="preserve">Учитывая сложность и многоплановость работы с обучающимися в эту работу привлекаются как инженерно-педагогический состав учреждений профессионального образования,  т.е. работа ведется по месту учебы, так и специалисты отделений  социальной помощи семьи и детям при Центрах социального обслуживания населения по месту их проживания, органы  внутренних дел, здравоохранения, физической культуры и спорта, комиссии по делам несовершеннолетних. </w:t>
      </w:r>
      <w:proofErr w:type="gramEnd"/>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xml:space="preserve">Одной из наиболее важных сфер воспитательного процесса является формирование ценностей здорового образа жизни. С целью повышения интереса к регулярным занятиям физической культурой и спорта среди учреждений профессионального образования ежегодно проводится Спартакиада  по 7 видам спорта: по мини-футболу, баскетболу,  волейболу настольному теннису,  легкоатлетическим кроссам и  лыжным гонкам. Более 10 тысяч учащихся  посещают 399 спортивных кружков и оздоровительных секций, около 4 тысяч учащихся  посещают   </w:t>
      </w:r>
      <w:proofErr w:type="spellStart"/>
      <w:proofErr w:type="gramStart"/>
      <w:r w:rsidRPr="00EA6CE2">
        <w:rPr>
          <w:rFonts w:ascii="Times New Roman" w:hAnsi="Times New Roman"/>
          <w:sz w:val="24"/>
          <w:szCs w:val="24"/>
        </w:rPr>
        <w:t>детско</w:t>
      </w:r>
      <w:proofErr w:type="spellEnd"/>
      <w:r w:rsidRPr="00EA6CE2">
        <w:rPr>
          <w:rFonts w:ascii="Times New Roman" w:hAnsi="Times New Roman"/>
          <w:sz w:val="24"/>
          <w:szCs w:val="24"/>
        </w:rPr>
        <w:t xml:space="preserve"> - юношеские</w:t>
      </w:r>
      <w:proofErr w:type="gramEnd"/>
      <w:r w:rsidRPr="00EA6CE2">
        <w:rPr>
          <w:rFonts w:ascii="Times New Roman" w:hAnsi="Times New Roman"/>
          <w:sz w:val="24"/>
          <w:szCs w:val="24"/>
        </w:rPr>
        <w:t xml:space="preserve"> спортивные школы.  Активная работа в этом направлении ведется в </w:t>
      </w:r>
      <w:proofErr w:type="spellStart"/>
      <w:r w:rsidRPr="00EA6CE2">
        <w:rPr>
          <w:rFonts w:ascii="Times New Roman" w:hAnsi="Times New Roman"/>
          <w:sz w:val="24"/>
          <w:szCs w:val="24"/>
        </w:rPr>
        <w:t>Сабинском</w:t>
      </w:r>
      <w:proofErr w:type="spellEnd"/>
      <w:r w:rsidRPr="00EA6CE2">
        <w:rPr>
          <w:rFonts w:ascii="Times New Roman" w:hAnsi="Times New Roman"/>
          <w:sz w:val="24"/>
          <w:szCs w:val="24"/>
        </w:rPr>
        <w:t xml:space="preserve"> аграрном колледже, профессиональном  училище № 88 в </w:t>
      </w:r>
      <w:proofErr w:type="spellStart"/>
      <w:r w:rsidRPr="00EA6CE2">
        <w:rPr>
          <w:rFonts w:ascii="Times New Roman" w:hAnsi="Times New Roman"/>
          <w:sz w:val="24"/>
          <w:szCs w:val="24"/>
        </w:rPr>
        <w:t>Аксубаевском</w:t>
      </w:r>
      <w:proofErr w:type="spellEnd"/>
      <w:r w:rsidRPr="00EA6CE2">
        <w:rPr>
          <w:rFonts w:ascii="Times New Roman" w:hAnsi="Times New Roman"/>
          <w:sz w:val="24"/>
          <w:szCs w:val="24"/>
        </w:rPr>
        <w:t xml:space="preserve">  районе,  </w:t>
      </w:r>
      <w:proofErr w:type="spellStart"/>
      <w:r w:rsidRPr="00EA6CE2">
        <w:rPr>
          <w:rFonts w:ascii="Times New Roman" w:hAnsi="Times New Roman"/>
          <w:sz w:val="24"/>
          <w:szCs w:val="24"/>
        </w:rPr>
        <w:t>Бугульминском</w:t>
      </w:r>
      <w:proofErr w:type="spellEnd"/>
      <w:r w:rsidRPr="00EA6CE2">
        <w:rPr>
          <w:rFonts w:ascii="Times New Roman" w:hAnsi="Times New Roman"/>
          <w:sz w:val="24"/>
          <w:szCs w:val="24"/>
        </w:rPr>
        <w:t xml:space="preserve"> аграрном колледже,  Буинском ветеринарном техникуме, Казанском строительном колледже и Международном колледже сервиса. Победитель 2012 года республиканского смотра физической подготовленности - команда «Технического колледжа» города Набережные Челны заняла 3 место по физической подготовленности в финальном восемнадцатом Российском смотре физической подготовленности среди обучающихся образовательных учреждений в городе Анапа. </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В целях повышения творческой и социальной активности учащихся в 2011 году была создана Лига КВН  «</w:t>
      </w:r>
      <w:proofErr w:type="spellStart"/>
      <w:r w:rsidRPr="00EA6CE2">
        <w:rPr>
          <w:rFonts w:ascii="Times New Roman" w:hAnsi="Times New Roman"/>
          <w:sz w:val="24"/>
          <w:szCs w:val="24"/>
        </w:rPr>
        <w:t>ПрофТехОбразования</w:t>
      </w:r>
      <w:proofErr w:type="spellEnd"/>
      <w:r w:rsidRPr="00EA6CE2">
        <w:rPr>
          <w:rFonts w:ascii="Times New Roman" w:hAnsi="Times New Roman"/>
          <w:sz w:val="24"/>
          <w:szCs w:val="24"/>
        </w:rPr>
        <w:t>», где играют 59 команд учреждений профессионального образования. В 2012 году в студенческой Лиге КВН РТ среди  50  команд высших учебных заведений сборная  команда КВН «</w:t>
      </w:r>
      <w:proofErr w:type="spellStart"/>
      <w:r w:rsidRPr="00EA6CE2">
        <w:rPr>
          <w:rFonts w:ascii="Times New Roman" w:hAnsi="Times New Roman"/>
          <w:sz w:val="24"/>
          <w:szCs w:val="24"/>
        </w:rPr>
        <w:t>ПрофТехОбразования</w:t>
      </w:r>
      <w:proofErr w:type="spellEnd"/>
      <w:r w:rsidRPr="00EA6CE2">
        <w:rPr>
          <w:rFonts w:ascii="Times New Roman" w:hAnsi="Times New Roman"/>
          <w:sz w:val="24"/>
          <w:szCs w:val="24"/>
        </w:rPr>
        <w:t>» заняла 4 место и  участвовала в  Международном Фестивале КВН в городе  Сочи.</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В рамках целевой программы «Популяризация рабочих и инженерных профессий с целью привлечения и закрепления специалистов на предприятиях Республики Татарстан на 2011 – 2013 годы» ежегодно проводятся Республиканские конкурсы профессионального мастерства среди учащихся «Моя будущая профессия», конкурсы научно-исследовательских работ «В наших руках – будущее!».  В 2012 году в республиканском конкурсе  «Моя будущая профессия» приняли участие 64 учреждения,  166 учащихся и студентов начального, среднего и высшего профессионального образования. Конкурсные работы были представлены по 75 профессиям. В конкурсе научно-исследовательских работ «В наших руках – будущее!» участвовали  149 учащихся из 56 подведомственных образовательных учреждений.</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xml:space="preserve">Для расширения и внедрения новых форм и методов профилактической </w:t>
      </w:r>
      <w:proofErr w:type="spellStart"/>
      <w:r w:rsidRPr="00EA6CE2">
        <w:rPr>
          <w:rFonts w:ascii="Times New Roman" w:hAnsi="Times New Roman"/>
          <w:sz w:val="24"/>
          <w:szCs w:val="24"/>
        </w:rPr>
        <w:t>антинаркотической</w:t>
      </w:r>
      <w:proofErr w:type="spellEnd"/>
      <w:r w:rsidRPr="00EA6CE2">
        <w:rPr>
          <w:rFonts w:ascii="Times New Roman" w:hAnsi="Times New Roman"/>
          <w:sz w:val="24"/>
          <w:szCs w:val="24"/>
        </w:rPr>
        <w:t xml:space="preserve">  работы в июне 2012 года в рамках  </w:t>
      </w:r>
      <w:proofErr w:type="spellStart"/>
      <w:r w:rsidRPr="00EA6CE2">
        <w:rPr>
          <w:rFonts w:ascii="Times New Roman" w:hAnsi="Times New Roman"/>
          <w:sz w:val="24"/>
          <w:szCs w:val="24"/>
        </w:rPr>
        <w:t>антинаркотического</w:t>
      </w:r>
      <w:proofErr w:type="spellEnd"/>
      <w:r w:rsidRPr="00EA6CE2">
        <w:rPr>
          <w:rFonts w:ascii="Times New Roman" w:hAnsi="Times New Roman"/>
          <w:sz w:val="24"/>
          <w:szCs w:val="24"/>
        </w:rPr>
        <w:t xml:space="preserve"> автопробега Москва-Казань была проведена конференция с участием 600 человек, в том числе - 350 членов волонтерских движений образовательных учреждений всех уровней образования. </w:t>
      </w:r>
    </w:p>
    <w:p w:rsidR="00F73AE3" w:rsidRPr="00EA6CE2" w:rsidRDefault="00F73AE3" w:rsidP="00F73AE3">
      <w:pPr>
        <w:spacing w:after="0" w:line="240" w:lineRule="auto"/>
        <w:jc w:val="both"/>
        <w:rPr>
          <w:rFonts w:ascii="Times New Roman" w:hAnsi="Times New Roman"/>
          <w:sz w:val="24"/>
          <w:szCs w:val="24"/>
        </w:rPr>
      </w:pPr>
      <w:r w:rsidRPr="00EA6CE2">
        <w:rPr>
          <w:rFonts w:ascii="Times New Roman" w:hAnsi="Times New Roman"/>
          <w:sz w:val="24"/>
          <w:szCs w:val="24"/>
        </w:rPr>
        <w:t xml:space="preserve">В  ноябре 2012 года проведен Республиканский конкурс </w:t>
      </w:r>
      <w:proofErr w:type="spellStart"/>
      <w:r w:rsidRPr="00EA6CE2">
        <w:rPr>
          <w:rFonts w:ascii="Times New Roman" w:hAnsi="Times New Roman"/>
          <w:sz w:val="24"/>
          <w:szCs w:val="24"/>
        </w:rPr>
        <w:t>антинаркотических</w:t>
      </w:r>
      <w:proofErr w:type="spellEnd"/>
      <w:r w:rsidRPr="00EA6CE2">
        <w:rPr>
          <w:rFonts w:ascii="Times New Roman" w:hAnsi="Times New Roman"/>
          <w:sz w:val="24"/>
          <w:szCs w:val="24"/>
        </w:rPr>
        <w:t xml:space="preserve"> проектов «Путь к успеху», где приняли участие 40 учреждений профобразования. Данный конкурс направлен на развитие творческой активности педагогических работников учреждений  профессионального образования и распространения передового педагогического опыта в воспитательной работе с учащимися и их родителями по </w:t>
      </w:r>
      <w:proofErr w:type="spellStart"/>
      <w:r w:rsidRPr="00EA6CE2">
        <w:rPr>
          <w:rFonts w:ascii="Times New Roman" w:hAnsi="Times New Roman"/>
          <w:sz w:val="24"/>
          <w:szCs w:val="24"/>
        </w:rPr>
        <w:t>антинаркотической</w:t>
      </w:r>
      <w:proofErr w:type="spellEnd"/>
      <w:r w:rsidRPr="00EA6CE2">
        <w:rPr>
          <w:rFonts w:ascii="Times New Roman" w:hAnsi="Times New Roman"/>
          <w:sz w:val="24"/>
          <w:szCs w:val="24"/>
        </w:rPr>
        <w:t xml:space="preserve"> тематике.  В рамках Всероссийского </w:t>
      </w:r>
      <w:proofErr w:type="spellStart"/>
      <w:r w:rsidRPr="00EA6CE2">
        <w:rPr>
          <w:rFonts w:ascii="Times New Roman" w:hAnsi="Times New Roman"/>
          <w:sz w:val="24"/>
          <w:szCs w:val="24"/>
        </w:rPr>
        <w:t>интернет-урока</w:t>
      </w:r>
      <w:proofErr w:type="spellEnd"/>
      <w:r w:rsidRPr="00EA6CE2">
        <w:rPr>
          <w:rFonts w:ascii="Times New Roman" w:hAnsi="Times New Roman"/>
          <w:sz w:val="24"/>
          <w:szCs w:val="24"/>
        </w:rPr>
        <w:t xml:space="preserve"> </w:t>
      </w:r>
      <w:proofErr w:type="spellStart"/>
      <w:r w:rsidRPr="00EA6CE2">
        <w:rPr>
          <w:rFonts w:ascii="Times New Roman" w:hAnsi="Times New Roman"/>
          <w:sz w:val="24"/>
          <w:szCs w:val="24"/>
        </w:rPr>
        <w:t>антинаркотической</w:t>
      </w:r>
      <w:proofErr w:type="spellEnd"/>
      <w:r w:rsidRPr="00EA6CE2">
        <w:rPr>
          <w:rFonts w:ascii="Times New Roman" w:hAnsi="Times New Roman"/>
          <w:sz w:val="24"/>
          <w:szCs w:val="24"/>
        </w:rPr>
        <w:t xml:space="preserve"> направленности «Имею право знать!» в 81 образовательном учреждении  организовано 1235 информационных мероприятий, в которых приняли участие 31,7 тыс</w:t>
      </w:r>
      <w:proofErr w:type="gramStart"/>
      <w:r w:rsidRPr="00EA6CE2">
        <w:rPr>
          <w:rFonts w:ascii="Times New Roman" w:hAnsi="Times New Roman"/>
          <w:sz w:val="24"/>
          <w:szCs w:val="24"/>
        </w:rPr>
        <w:t>.ч</w:t>
      </w:r>
      <w:proofErr w:type="gramEnd"/>
      <w:r w:rsidRPr="00EA6CE2">
        <w:rPr>
          <w:rFonts w:ascii="Times New Roman" w:hAnsi="Times New Roman"/>
          <w:sz w:val="24"/>
          <w:szCs w:val="24"/>
        </w:rPr>
        <w:t>еловек.</w:t>
      </w:r>
    </w:p>
    <w:p w:rsidR="00F73AE3" w:rsidRPr="00EA6CE2" w:rsidRDefault="00F73AE3" w:rsidP="00F73AE3">
      <w:pPr>
        <w:spacing w:after="0" w:line="240" w:lineRule="auto"/>
        <w:jc w:val="both"/>
        <w:rPr>
          <w:rFonts w:ascii="Times New Roman" w:hAnsi="Times New Roman"/>
          <w:sz w:val="24"/>
          <w:szCs w:val="24"/>
        </w:rPr>
      </w:pPr>
    </w:p>
    <w:p w:rsidR="00F73AE3" w:rsidRDefault="00F73AE3" w:rsidP="00F73AE3">
      <w:pPr>
        <w:spacing w:after="0" w:line="240" w:lineRule="auto"/>
        <w:jc w:val="both"/>
        <w:rPr>
          <w:rFonts w:ascii="Times New Roman" w:hAnsi="Times New Roman"/>
          <w:sz w:val="24"/>
          <w:szCs w:val="24"/>
        </w:rPr>
      </w:pPr>
    </w:p>
    <w:p w:rsidR="00F73AE3" w:rsidRDefault="00F73AE3" w:rsidP="00F73AE3">
      <w:pPr>
        <w:spacing w:after="0" w:line="240" w:lineRule="auto"/>
        <w:jc w:val="both"/>
        <w:rPr>
          <w:rFonts w:ascii="Times New Roman" w:hAnsi="Times New Roman"/>
          <w:sz w:val="24"/>
          <w:szCs w:val="24"/>
        </w:rPr>
      </w:pPr>
    </w:p>
    <w:p w:rsidR="00F73AE3" w:rsidRDefault="00F73AE3" w:rsidP="00F73AE3">
      <w:pPr>
        <w:spacing w:after="0" w:line="240" w:lineRule="auto"/>
        <w:jc w:val="both"/>
        <w:rPr>
          <w:rFonts w:ascii="Times New Roman" w:hAnsi="Times New Roman"/>
          <w:sz w:val="24"/>
          <w:szCs w:val="24"/>
        </w:rPr>
      </w:pPr>
    </w:p>
    <w:p w:rsidR="00F73AE3" w:rsidRDefault="00F73AE3" w:rsidP="00F73AE3">
      <w:pPr>
        <w:spacing w:after="0" w:line="240" w:lineRule="auto"/>
        <w:jc w:val="both"/>
        <w:rPr>
          <w:rFonts w:ascii="Times New Roman" w:hAnsi="Times New Roman"/>
          <w:sz w:val="24"/>
          <w:szCs w:val="24"/>
        </w:rPr>
      </w:pPr>
    </w:p>
    <w:p w:rsidR="00F73AE3" w:rsidRDefault="00F73AE3" w:rsidP="00F73AE3">
      <w:pPr>
        <w:spacing w:after="0" w:line="240" w:lineRule="auto"/>
        <w:jc w:val="both"/>
        <w:rPr>
          <w:rFonts w:ascii="Times New Roman" w:hAnsi="Times New Roman"/>
          <w:sz w:val="24"/>
          <w:szCs w:val="24"/>
        </w:rPr>
      </w:pPr>
    </w:p>
    <w:p w:rsidR="00F73AE3" w:rsidRDefault="00F73AE3" w:rsidP="00F73AE3">
      <w:pPr>
        <w:spacing w:after="0" w:line="240" w:lineRule="auto"/>
        <w:jc w:val="both"/>
        <w:rPr>
          <w:rFonts w:ascii="Times New Roman" w:hAnsi="Times New Roman"/>
          <w:sz w:val="24"/>
          <w:szCs w:val="24"/>
        </w:rPr>
      </w:pPr>
    </w:p>
    <w:p w:rsidR="00F73AE3" w:rsidRDefault="00F73AE3" w:rsidP="00F73AE3">
      <w:pPr>
        <w:spacing w:after="0" w:line="240" w:lineRule="auto"/>
        <w:jc w:val="both"/>
        <w:rPr>
          <w:rFonts w:ascii="Times New Roman" w:hAnsi="Times New Roman"/>
          <w:sz w:val="24"/>
          <w:szCs w:val="24"/>
        </w:rPr>
      </w:pPr>
    </w:p>
    <w:p w:rsidR="00F73AE3" w:rsidRDefault="00F73AE3" w:rsidP="00F73AE3">
      <w:pPr>
        <w:spacing w:after="0" w:line="240" w:lineRule="auto"/>
        <w:jc w:val="both"/>
        <w:rPr>
          <w:rFonts w:ascii="Times New Roman" w:hAnsi="Times New Roman"/>
          <w:sz w:val="24"/>
          <w:szCs w:val="24"/>
        </w:rPr>
      </w:pPr>
    </w:p>
    <w:p w:rsidR="00F73AE3" w:rsidRPr="00A24D29" w:rsidRDefault="00F73AE3" w:rsidP="00F73AE3">
      <w:pPr>
        <w:spacing w:after="0" w:line="240" w:lineRule="auto"/>
        <w:jc w:val="both"/>
        <w:rPr>
          <w:rFonts w:ascii="Times New Roman" w:hAnsi="Times New Roman"/>
          <w:sz w:val="24"/>
          <w:szCs w:val="24"/>
        </w:rPr>
      </w:pPr>
    </w:p>
    <w:p w:rsidR="008F17A2" w:rsidRPr="00887D81" w:rsidRDefault="00F73AE3" w:rsidP="00887D81">
      <w:pPr>
        <w:spacing w:after="0" w:line="240" w:lineRule="auto"/>
        <w:ind w:firstLine="709"/>
        <w:jc w:val="both"/>
        <w:rPr>
          <w:rFonts w:ascii="Times New Roman" w:hAnsi="Times New Roman"/>
          <w:b/>
          <w:sz w:val="24"/>
          <w:szCs w:val="24"/>
        </w:rPr>
      </w:pPr>
      <w:r>
        <w:rPr>
          <w:rFonts w:ascii="Times New Roman" w:hAnsi="Times New Roman"/>
          <w:b/>
          <w:sz w:val="24"/>
          <w:szCs w:val="24"/>
        </w:rPr>
        <w:t>4</w:t>
      </w:r>
      <w:r w:rsidR="008F17A2">
        <w:rPr>
          <w:rFonts w:ascii="Times New Roman" w:hAnsi="Times New Roman"/>
          <w:b/>
          <w:sz w:val="24"/>
          <w:szCs w:val="24"/>
        </w:rPr>
        <w:t xml:space="preserve">. </w:t>
      </w:r>
      <w:r w:rsidR="008F17A2" w:rsidRPr="00887D81">
        <w:rPr>
          <w:rFonts w:ascii="Times New Roman" w:hAnsi="Times New Roman"/>
          <w:b/>
          <w:sz w:val="24"/>
          <w:szCs w:val="24"/>
        </w:rPr>
        <w:t>Меры социальной поддержки населения</w:t>
      </w: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xml:space="preserve">Социальная поддержка граждан в Республике Татарстан осуществляется в соответствие с федеральным законом «О ветеранах», «О социальной защите инвалидов в Российской Федерации», «Об адресной социальной поддержке населения в Республике Татарстан» и другими нормативными правовыми актами  Российской Федерации и Республики Татарстан. </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Общее число  получателей государственной социальной поддержки через органы социальной защиты по состоянию на 1 января 2013 года составило 1,59 млн. человек, из них 364,8 тыс. человек отнесены к федеральному уровню ответственности. В 2012 году на меры социальной поддержки населения Республики Татарстан было направлено 10,3 млрд. рублей.</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На реализацию Закона Республики Татарстан от 8 декабря 2004 года № 63-ЗРТ «Об адресной социальной поддержке населения в Республике Татарстан», устанавливающего меры социальной поддержки ветеранам труда, труженикам тыла, лицам, награжденным государственными наградами Республики Татарстан, гражданам, пострадавшим от политических репрессий, семьям с детьми</w:t>
      </w:r>
      <w:proofErr w:type="gramStart"/>
      <w:r w:rsidRPr="00887D81">
        <w:rPr>
          <w:rFonts w:ascii="Times New Roman" w:hAnsi="Times New Roman"/>
          <w:sz w:val="24"/>
          <w:szCs w:val="24"/>
        </w:rPr>
        <w:t xml:space="preserve"> ,</w:t>
      </w:r>
      <w:proofErr w:type="gramEnd"/>
      <w:r w:rsidRPr="00887D81">
        <w:rPr>
          <w:rFonts w:ascii="Times New Roman" w:hAnsi="Times New Roman"/>
          <w:sz w:val="24"/>
          <w:szCs w:val="24"/>
        </w:rPr>
        <w:t xml:space="preserve"> в 2012 году  направлены средства в сумме 3,62 млрд. рублей. </w:t>
      </w:r>
    </w:p>
    <w:p w:rsidR="008F17A2" w:rsidRPr="00887D81" w:rsidRDefault="008F17A2" w:rsidP="00887D81">
      <w:pPr>
        <w:spacing w:after="0" w:line="240" w:lineRule="auto"/>
        <w:ind w:firstLine="709"/>
        <w:jc w:val="both"/>
        <w:rPr>
          <w:rFonts w:ascii="Times New Roman" w:hAnsi="Times New Roman"/>
          <w:sz w:val="24"/>
          <w:szCs w:val="24"/>
        </w:rPr>
      </w:pPr>
    </w:p>
    <w:tbl>
      <w:tblPr>
        <w:tblW w:w="9943" w:type="dxa"/>
        <w:tblInd w:w="88" w:type="dxa"/>
        <w:tblLook w:val="00A0"/>
      </w:tblPr>
      <w:tblGrid>
        <w:gridCol w:w="7108"/>
        <w:gridCol w:w="1559"/>
        <w:gridCol w:w="1276"/>
      </w:tblGrid>
      <w:tr w:rsidR="008F17A2" w:rsidRPr="00887D81" w:rsidTr="00F73AE3">
        <w:trPr>
          <w:trHeight w:val="480"/>
        </w:trPr>
        <w:tc>
          <w:tcPr>
            <w:tcW w:w="7108" w:type="dxa"/>
            <w:vMerge w:val="restart"/>
            <w:tcBorders>
              <w:top w:val="single" w:sz="8" w:space="0" w:color="auto"/>
              <w:left w:val="nil"/>
              <w:bottom w:val="single" w:sz="4" w:space="0" w:color="000000"/>
              <w:right w:val="single" w:sz="4" w:space="0" w:color="auto"/>
            </w:tcBorders>
            <w:shd w:val="clear" w:color="000000" w:fill="B6DDE8"/>
          </w:tcPr>
          <w:p w:rsidR="008F17A2" w:rsidRPr="00887D81" w:rsidRDefault="008F17A2" w:rsidP="00887D81">
            <w:pPr>
              <w:spacing w:after="0" w:line="240" w:lineRule="auto"/>
              <w:ind w:firstLine="709"/>
              <w:jc w:val="both"/>
              <w:rPr>
                <w:rFonts w:ascii="Times New Roman" w:hAnsi="Times New Roman"/>
                <w:b/>
                <w:bCs/>
                <w:sz w:val="24"/>
                <w:szCs w:val="24"/>
              </w:rPr>
            </w:pPr>
            <w:bookmarkStart w:id="0" w:name="RANGE!A1:C18"/>
            <w:bookmarkEnd w:id="0"/>
            <w:r w:rsidRPr="00887D81">
              <w:rPr>
                <w:rFonts w:ascii="Times New Roman" w:hAnsi="Times New Roman"/>
                <w:b/>
                <w:bCs/>
                <w:sz w:val="24"/>
                <w:szCs w:val="24"/>
              </w:rPr>
              <w:t>Категории граждан</w:t>
            </w:r>
          </w:p>
        </w:tc>
        <w:tc>
          <w:tcPr>
            <w:tcW w:w="2835" w:type="dxa"/>
            <w:gridSpan w:val="2"/>
            <w:tcBorders>
              <w:top w:val="single" w:sz="4" w:space="0" w:color="auto"/>
              <w:left w:val="single" w:sz="4" w:space="0" w:color="auto"/>
              <w:bottom w:val="single" w:sz="4" w:space="0" w:color="auto"/>
              <w:right w:val="single" w:sz="4" w:space="0" w:color="auto"/>
            </w:tcBorders>
            <w:shd w:val="clear" w:color="000000" w:fill="B6DDE8"/>
          </w:tcPr>
          <w:p w:rsidR="008F17A2" w:rsidRPr="00887D81" w:rsidRDefault="008F17A2" w:rsidP="00887D81">
            <w:pPr>
              <w:spacing w:after="0" w:line="240" w:lineRule="auto"/>
              <w:ind w:firstLine="709"/>
              <w:jc w:val="both"/>
              <w:rPr>
                <w:rFonts w:ascii="Times New Roman" w:hAnsi="Times New Roman"/>
                <w:b/>
                <w:bCs/>
                <w:sz w:val="24"/>
                <w:szCs w:val="24"/>
              </w:rPr>
            </w:pPr>
            <w:r w:rsidRPr="00887D81">
              <w:rPr>
                <w:rFonts w:ascii="Times New Roman" w:hAnsi="Times New Roman"/>
                <w:b/>
                <w:bCs/>
                <w:sz w:val="24"/>
                <w:szCs w:val="24"/>
              </w:rPr>
              <w:t>Число получателей (человек)</w:t>
            </w:r>
          </w:p>
        </w:tc>
      </w:tr>
      <w:tr w:rsidR="008F17A2" w:rsidRPr="00887D81" w:rsidTr="00F73AE3">
        <w:trPr>
          <w:trHeight w:val="385"/>
        </w:trPr>
        <w:tc>
          <w:tcPr>
            <w:tcW w:w="7108" w:type="dxa"/>
            <w:vMerge/>
            <w:tcBorders>
              <w:top w:val="single" w:sz="8" w:space="0" w:color="auto"/>
              <w:left w:val="nil"/>
              <w:bottom w:val="single" w:sz="4" w:space="0" w:color="000000"/>
              <w:right w:val="nil"/>
            </w:tcBorders>
            <w:vAlign w:val="center"/>
          </w:tcPr>
          <w:p w:rsidR="008F17A2" w:rsidRPr="00887D81" w:rsidRDefault="008F17A2" w:rsidP="00887D81">
            <w:pPr>
              <w:spacing w:after="0" w:line="240" w:lineRule="auto"/>
              <w:ind w:firstLine="709"/>
              <w:jc w:val="both"/>
              <w:rPr>
                <w:rFonts w:ascii="Times New Roman" w:hAnsi="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000000" w:fill="B6DDE8"/>
          </w:tcPr>
          <w:p w:rsidR="008F17A2" w:rsidRPr="00887D81" w:rsidRDefault="008F17A2" w:rsidP="00887D81">
            <w:pPr>
              <w:spacing w:after="0" w:line="240" w:lineRule="auto"/>
              <w:ind w:firstLine="709"/>
              <w:jc w:val="both"/>
              <w:rPr>
                <w:rFonts w:ascii="Times New Roman" w:hAnsi="Times New Roman"/>
                <w:b/>
                <w:bCs/>
                <w:sz w:val="24"/>
                <w:szCs w:val="24"/>
              </w:rPr>
            </w:pPr>
            <w:r w:rsidRPr="00887D81">
              <w:rPr>
                <w:rFonts w:ascii="Times New Roman" w:hAnsi="Times New Roman"/>
                <w:b/>
                <w:bCs/>
                <w:sz w:val="24"/>
                <w:szCs w:val="24"/>
              </w:rPr>
              <w:t xml:space="preserve">2011 год </w:t>
            </w:r>
          </w:p>
        </w:tc>
        <w:tc>
          <w:tcPr>
            <w:tcW w:w="1276" w:type="dxa"/>
            <w:tcBorders>
              <w:top w:val="single" w:sz="4" w:space="0" w:color="auto"/>
              <w:left w:val="nil"/>
              <w:bottom w:val="single" w:sz="4" w:space="0" w:color="auto"/>
              <w:right w:val="single" w:sz="4" w:space="0" w:color="auto"/>
            </w:tcBorders>
            <w:shd w:val="clear" w:color="000000" w:fill="B6DDE8"/>
          </w:tcPr>
          <w:p w:rsidR="008F17A2" w:rsidRPr="00887D81" w:rsidRDefault="008F17A2" w:rsidP="00917EC2">
            <w:pPr>
              <w:spacing w:after="0" w:line="240" w:lineRule="auto"/>
              <w:jc w:val="both"/>
              <w:rPr>
                <w:rFonts w:ascii="Times New Roman" w:hAnsi="Times New Roman"/>
                <w:b/>
                <w:bCs/>
                <w:sz w:val="24"/>
                <w:szCs w:val="24"/>
              </w:rPr>
            </w:pPr>
            <w:r w:rsidRPr="00887D81">
              <w:rPr>
                <w:rFonts w:ascii="Times New Roman" w:hAnsi="Times New Roman"/>
                <w:b/>
                <w:bCs/>
                <w:sz w:val="24"/>
                <w:szCs w:val="24"/>
              </w:rPr>
              <w:t>2012 год</w:t>
            </w:r>
          </w:p>
        </w:tc>
      </w:tr>
      <w:tr w:rsidR="008F17A2" w:rsidRPr="00887D81" w:rsidTr="00F73AE3">
        <w:trPr>
          <w:trHeight w:val="345"/>
        </w:trPr>
        <w:tc>
          <w:tcPr>
            <w:tcW w:w="7108"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Ветераны труда</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256 258</w:t>
            </w:r>
          </w:p>
        </w:tc>
        <w:tc>
          <w:tcPr>
            <w:tcW w:w="1276"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250 682</w:t>
            </w:r>
          </w:p>
        </w:tc>
      </w:tr>
      <w:tr w:rsidR="008F17A2" w:rsidRPr="00887D81" w:rsidTr="00F73AE3">
        <w:trPr>
          <w:trHeight w:val="345"/>
        </w:trPr>
        <w:tc>
          <w:tcPr>
            <w:tcW w:w="7108"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Труженики тыла</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6 736</w:t>
            </w:r>
          </w:p>
        </w:tc>
        <w:tc>
          <w:tcPr>
            <w:tcW w:w="1276"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5 838</w:t>
            </w:r>
          </w:p>
        </w:tc>
      </w:tr>
      <w:tr w:rsidR="008F17A2" w:rsidRPr="00887D81" w:rsidTr="00F73AE3">
        <w:trPr>
          <w:trHeight w:val="553"/>
        </w:trPr>
        <w:tc>
          <w:tcPr>
            <w:tcW w:w="7108"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Реабилитированные и граждане, пострадавшие от политических репрессий</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2 525</w:t>
            </w:r>
          </w:p>
        </w:tc>
        <w:tc>
          <w:tcPr>
            <w:tcW w:w="1276"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2 413</w:t>
            </w:r>
          </w:p>
        </w:tc>
      </w:tr>
      <w:tr w:rsidR="008F17A2" w:rsidRPr="00887D81" w:rsidTr="00F73AE3">
        <w:trPr>
          <w:trHeight w:val="345"/>
        </w:trPr>
        <w:tc>
          <w:tcPr>
            <w:tcW w:w="7108"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Пенсионеры</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409 690</w:t>
            </w:r>
          </w:p>
        </w:tc>
        <w:tc>
          <w:tcPr>
            <w:tcW w:w="1276"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434 190</w:t>
            </w:r>
          </w:p>
        </w:tc>
      </w:tr>
      <w:tr w:rsidR="008F17A2" w:rsidRPr="00887D81" w:rsidTr="00F73AE3">
        <w:trPr>
          <w:trHeight w:val="345"/>
        </w:trPr>
        <w:tc>
          <w:tcPr>
            <w:tcW w:w="7108"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Дети из многодетных семей</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56 508</w:t>
            </w:r>
          </w:p>
        </w:tc>
        <w:tc>
          <w:tcPr>
            <w:tcW w:w="1276"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60 349</w:t>
            </w:r>
          </w:p>
        </w:tc>
      </w:tr>
      <w:tr w:rsidR="008F17A2" w:rsidRPr="00887D81" w:rsidTr="00F73AE3">
        <w:trPr>
          <w:trHeight w:val="359"/>
        </w:trPr>
        <w:tc>
          <w:tcPr>
            <w:tcW w:w="7108" w:type="dxa"/>
            <w:tcBorders>
              <w:top w:val="nil"/>
              <w:left w:val="single" w:sz="4" w:space="0" w:color="auto"/>
              <w:bottom w:val="single" w:sz="4" w:space="0" w:color="auto"/>
              <w:right w:val="single" w:sz="4" w:space="0" w:color="auto"/>
            </w:tcBorders>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Дети-сироты, дети, оставшиеся без попечения родителей</w:t>
            </w:r>
          </w:p>
        </w:tc>
        <w:tc>
          <w:tcPr>
            <w:tcW w:w="1559" w:type="dxa"/>
            <w:tcBorders>
              <w:top w:val="nil"/>
              <w:left w:val="nil"/>
              <w:bottom w:val="single" w:sz="4" w:space="0" w:color="auto"/>
              <w:right w:val="single" w:sz="4" w:space="0" w:color="auto"/>
            </w:tcBorders>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4 678</w:t>
            </w:r>
          </w:p>
        </w:tc>
        <w:tc>
          <w:tcPr>
            <w:tcW w:w="1276" w:type="dxa"/>
            <w:tcBorders>
              <w:top w:val="nil"/>
              <w:left w:val="nil"/>
              <w:bottom w:val="single" w:sz="4" w:space="0" w:color="auto"/>
              <w:right w:val="single" w:sz="4" w:space="0" w:color="auto"/>
            </w:tcBorders>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4 833</w:t>
            </w:r>
          </w:p>
        </w:tc>
      </w:tr>
      <w:tr w:rsidR="008F17A2" w:rsidRPr="00887D81" w:rsidTr="00F73AE3">
        <w:trPr>
          <w:trHeight w:val="345"/>
        </w:trPr>
        <w:tc>
          <w:tcPr>
            <w:tcW w:w="7108"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Получатели субсидий на оплату ЖКУ</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64 367</w:t>
            </w:r>
          </w:p>
        </w:tc>
        <w:tc>
          <w:tcPr>
            <w:tcW w:w="1276"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231 364</w:t>
            </w:r>
          </w:p>
        </w:tc>
      </w:tr>
      <w:tr w:rsidR="008F17A2" w:rsidRPr="00887D81" w:rsidTr="00F73AE3">
        <w:trPr>
          <w:trHeight w:val="342"/>
        </w:trPr>
        <w:tc>
          <w:tcPr>
            <w:tcW w:w="7108"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Граждане, награжденные наградами Республики Татарстан</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2 231</w:t>
            </w:r>
          </w:p>
        </w:tc>
        <w:tc>
          <w:tcPr>
            <w:tcW w:w="1276"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2 650</w:t>
            </w:r>
          </w:p>
        </w:tc>
      </w:tr>
      <w:tr w:rsidR="008F17A2" w:rsidRPr="00887D81" w:rsidTr="00F73AE3">
        <w:trPr>
          <w:trHeight w:val="617"/>
        </w:trPr>
        <w:tc>
          <w:tcPr>
            <w:tcW w:w="7108"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Получатели ежемесячного пособия на ребенка в семьях с доходами ниже прожиточного минимума</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87 914</w:t>
            </w:r>
          </w:p>
        </w:tc>
        <w:tc>
          <w:tcPr>
            <w:tcW w:w="1276"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84 244</w:t>
            </w:r>
          </w:p>
        </w:tc>
      </w:tr>
      <w:tr w:rsidR="008F17A2" w:rsidRPr="00887D81" w:rsidTr="00F73AE3">
        <w:trPr>
          <w:trHeight w:val="345"/>
        </w:trPr>
        <w:tc>
          <w:tcPr>
            <w:tcW w:w="7108"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«Федеральные льготники»</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334 739</w:t>
            </w:r>
          </w:p>
        </w:tc>
        <w:tc>
          <w:tcPr>
            <w:tcW w:w="1276"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334 500</w:t>
            </w:r>
          </w:p>
        </w:tc>
      </w:tr>
      <w:tr w:rsidR="008F17A2" w:rsidRPr="00887D81" w:rsidTr="00F73AE3">
        <w:trPr>
          <w:trHeight w:val="503"/>
        </w:trPr>
        <w:tc>
          <w:tcPr>
            <w:tcW w:w="7108"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Отдельные категории граждан, работающие и проживающие в сельской местности</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25 236</w:t>
            </w:r>
          </w:p>
        </w:tc>
        <w:tc>
          <w:tcPr>
            <w:tcW w:w="1276"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25 001</w:t>
            </w:r>
          </w:p>
        </w:tc>
      </w:tr>
      <w:tr w:rsidR="008F17A2" w:rsidRPr="00887D81" w:rsidTr="00F73AE3">
        <w:trPr>
          <w:trHeight w:val="497"/>
        </w:trPr>
        <w:tc>
          <w:tcPr>
            <w:tcW w:w="7108"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Получатели единовременного пособия на рождение ребенка военнослужащего срочной службы</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109</w:t>
            </w:r>
          </w:p>
        </w:tc>
        <w:tc>
          <w:tcPr>
            <w:tcW w:w="1276"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54</w:t>
            </w:r>
          </w:p>
        </w:tc>
      </w:tr>
      <w:tr w:rsidR="008F17A2" w:rsidRPr="00887D81" w:rsidTr="00F73AE3">
        <w:trPr>
          <w:trHeight w:val="477"/>
        </w:trPr>
        <w:tc>
          <w:tcPr>
            <w:tcW w:w="7108"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Получатели ежемесячного пособия на ребенка военнослужащего срочной службы</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251</w:t>
            </w:r>
          </w:p>
        </w:tc>
        <w:tc>
          <w:tcPr>
            <w:tcW w:w="1276"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129</w:t>
            </w:r>
          </w:p>
        </w:tc>
      </w:tr>
      <w:tr w:rsidR="008F17A2" w:rsidRPr="00887D81" w:rsidTr="00F73AE3">
        <w:trPr>
          <w:trHeight w:val="627"/>
        </w:trPr>
        <w:tc>
          <w:tcPr>
            <w:tcW w:w="7108"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lastRenderedPageBreak/>
              <w:t>Получатели компенсации части родительской платы за дошкольные учреждения</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77 639</w:t>
            </w:r>
          </w:p>
        </w:tc>
        <w:tc>
          <w:tcPr>
            <w:tcW w:w="1276"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92 178</w:t>
            </w:r>
          </w:p>
        </w:tc>
      </w:tr>
      <w:tr w:rsidR="008F17A2" w:rsidRPr="00887D81" w:rsidTr="00F73AE3">
        <w:trPr>
          <w:trHeight w:val="273"/>
        </w:trPr>
        <w:tc>
          <w:tcPr>
            <w:tcW w:w="7108"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Граждане, получающие пособие по уходу за ребенком до 1,5 лет</w:t>
            </w:r>
          </w:p>
          <w:p w:rsidR="008F17A2" w:rsidRPr="00887D81" w:rsidRDefault="008F17A2" w:rsidP="00887D81">
            <w:pPr>
              <w:spacing w:after="0" w:line="240" w:lineRule="auto"/>
              <w:ind w:firstLine="709"/>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18 588</w:t>
            </w:r>
          </w:p>
        </w:tc>
        <w:tc>
          <w:tcPr>
            <w:tcW w:w="1276"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19 552</w:t>
            </w: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p>
        </w:tc>
      </w:tr>
      <w:tr w:rsidR="008F17A2" w:rsidRPr="00887D81" w:rsidTr="00F73AE3">
        <w:trPr>
          <w:trHeight w:val="557"/>
        </w:trPr>
        <w:tc>
          <w:tcPr>
            <w:tcW w:w="7108"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Граждане, награжденные званиями «Почетный донор России» и «Почетный донор СССР»</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9 915</w:t>
            </w:r>
          </w:p>
        </w:tc>
        <w:tc>
          <w:tcPr>
            <w:tcW w:w="1276" w:type="dxa"/>
            <w:tcBorders>
              <w:top w:val="nil"/>
              <w:left w:val="nil"/>
              <w:bottom w:val="single" w:sz="4" w:space="0" w:color="auto"/>
              <w:right w:val="single" w:sz="4" w:space="0" w:color="auto"/>
            </w:tcBorders>
            <w:shd w:val="clear" w:color="000000" w:fill="FFFFFF"/>
          </w:tcPr>
          <w:p w:rsidR="008F17A2" w:rsidRPr="00887D81" w:rsidRDefault="008F17A2" w:rsidP="00917EC2">
            <w:pPr>
              <w:spacing w:after="0" w:line="240" w:lineRule="auto"/>
              <w:jc w:val="both"/>
              <w:rPr>
                <w:rFonts w:ascii="Times New Roman" w:hAnsi="Times New Roman"/>
                <w:sz w:val="24"/>
                <w:szCs w:val="24"/>
              </w:rPr>
            </w:pPr>
            <w:r w:rsidRPr="00887D81">
              <w:rPr>
                <w:rFonts w:ascii="Times New Roman" w:hAnsi="Times New Roman"/>
                <w:sz w:val="24"/>
                <w:szCs w:val="24"/>
              </w:rPr>
              <w:t>9 829</w:t>
            </w:r>
          </w:p>
        </w:tc>
      </w:tr>
    </w:tbl>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В течение 2012 года выплачивались  все виды пособий, установленных Федеральным законом от 19 мая 1995 года № 81-ФЗ «О государственных пособиях гражданам, имеющим детей». В 2012 году неработающие родители получили единовременное пособие на рождение 7 712 детей, 19 324 неработающих лиц получили пособие по уходу за ребенком, единовременное пособие выплачено 54 беременным женам военнослужащих, проходящих военную службу по призыву, ежемесячное пособие выплачено на 129 детей военнослужащих, проходящих военную службу по призыву.</w:t>
      </w:r>
    </w:p>
    <w:p w:rsidR="008F17A2" w:rsidRPr="00887D81" w:rsidRDefault="008F17A2" w:rsidP="00887D81">
      <w:pPr>
        <w:spacing w:after="0" w:line="240" w:lineRule="auto"/>
        <w:ind w:firstLine="709"/>
        <w:jc w:val="both"/>
        <w:rPr>
          <w:rFonts w:ascii="Times New Roman" w:hAnsi="Times New Roman"/>
          <w:sz w:val="24"/>
          <w:szCs w:val="24"/>
        </w:rPr>
      </w:pPr>
    </w:p>
    <w:tbl>
      <w:tblPr>
        <w:tblW w:w="9943" w:type="dxa"/>
        <w:tblInd w:w="88" w:type="dxa"/>
        <w:tblLook w:val="00A0"/>
      </w:tblPr>
      <w:tblGrid>
        <w:gridCol w:w="6966"/>
        <w:gridCol w:w="1559"/>
        <w:gridCol w:w="1418"/>
      </w:tblGrid>
      <w:tr w:rsidR="008F17A2" w:rsidRPr="00887D81" w:rsidTr="00887D81">
        <w:trPr>
          <w:trHeight w:val="720"/>
        </w:trPr>
        <w:tc>
          <w:tcPr>
            <w:tcW w:w="6966" w:type="dxa"/>
            <w:vMerge w:val="restart"/>
            <w:tcBorders>
              <w:top w:val="single" w:sz="8" w:space="0" w:color="auto"/>
              <w:left w:val="single" w:sz="8" w:space="0" w:color="auto"/>
              <w:bottom w:val="nil"/>
              <w:right w:val="nil"/>
            </w:tcBorders>
            <w:shd w:val="clear" w:color="000000" w:fill="B6DDE8"/>
          </w:tcPr>
          <w:p w:rsidR="008F17A2" w:rsidRPr="00887D81" w:rsidRDefault="008F17A2" w:rsidP="00887D81">
            <w:pPr>
              <w:spacing w:after="0" w:line="240" w:lineRule="auto"/>
              <w:ind w:firstLine="709"/>
              <w:jc w:val="both"/>
              <w:rPr>
                <w:rFonts w:ascii="Times New Roman" w:hAnsi="Times New Roman"/>
                <w:b/>
                <w:bCs/>
                <w:sz w:val="24"/>
                <w:szCs w:val="24"/>
              </w:rPr>
            </w:pPr>
            <w:r w:rsidRPr="00887D81">
              <w:rPr>
                <w:rFonts w:ascii="Times New Roman" w:hAnsi="Times New Roman"/>
                <w:b/>
                <w:bCs/>
                <w:sz w:val="24"/>
                <w:szCs w:val="24"/>
              </w:rPr>
              <w:t>Меры социальной поддержки семей с детьми</w:t>
            </w:r>
          </w:p>
        </w:tc>
        <w:tc>
          <w:tcPr>
            <w:tcW w:w="2977" w:type="dxa"/>
            <w:gridSpan w:val="2"/>
            <w:tcBorders>
              <w:top w:val="single" w:sz="4" w:space="0" w:color="auto"/>
              <w:left w:val="single" w:sz="4" w:space="0" w:color="auto"/>
              <w:bottom w:val="single" w:sz="4" w:space="0" w:color="auto"/>
              <w:right w:val="single" w:sz="4" w:space="0" w:color="auto"/>
            </w:tcBorders>
            <w:shd w:val="clear" w:color="000000" w:fill="B6DDE8"/>
          </w:tcPr>
          <w:p w:rsidR="008F17A2" w:rsidRPr="00887D81" w:rsidRDefault="008F17A2" w:rsidP="00887D81">
            <w:pPr>
              <w:spacing w:after="0" w:line="240" w:lineRule="auto"/>
              <w:ind w:firstLine="709"/>
              <w:jc w:val="both"/>
              <w:rPr>
                <w:rFonts w:ascii="Times New Roman" w:hAnsi="Times New Roman"/>
                <w:b/>
                <w:bCs/>
                <w:sz w:val="24"/>
                <w:szCs w:val="24"/>
              </w:rPr>
            </w:pPr>
            <w:r w:rsidRPr="00887D81">
              <w:rPr>
                <w:rFonts w:ascii="Times New Roman" w:hAnsi="Times New Roman"/>
                <w:b/>
                <w:bCs/>
                <w:sz w:val="24"/>
                <w:szCs w:val="24"/>
              </w:rPr>
              <w:t>Число получателей (человек)</w:t>
            </w:r>
          </w:p>
        </w:tc>
      </w:tr>
      <w:tr w:rsidR="008F17A2" w:rsidRPr="00887D81" w:rsidTr="00887D81">
        <w:trPr>
          <w:trHeight w:val="255"/>
        </w:trPr>
        <w:tc>
          <w:tcPr>
            <w:tcW w:w="6966" w:type="dxa"/>
            <w:vMerge/>
            <w:tcBorders>
              <w:top w:val="single" w:sz="8" w:space="0" w:color="auto"/>
              <w:left w:val="single" w:sz="8" w:space="0" w:color="auto"/>
              <w:bottom w:val="nil"/>
              <w:right w:val="nil"/>
            </w:tcBorders>
            <w:vAlign w:val="center"/>
          </w:tcPr>
          <w:p w:rsidR="008F17A2" w:rsidRPr="00887D81" w:rsidRDefault="008F17A2" w:rsidP="00887D81">
            <w:pPr>
              <w:spacing w:after="0" w:line="240" w:lineRule="auto"/>
              <w:ind w:firstLine="709"/>
              <w:jc w:val="both"/>
              <w:rPr>
                <w:rFonts w:ascii="Times New Roman" w:hAnsi="Times New Roman"/>
                <w:b/>
                <w:bCs/>
                <w:sz w:val="24"/>
                <w:szCs w:val="24"/>
              </w:rPr>
            </w:pPr>
          </w:p>
        </w:tc>
        <w:tc>
          <w:tcPr>
            <w:tcW w:w="1559" w:type="dxa"/>
            <w:tcBorders>
              <w:top w:val="nil"/>
              <w:left w:val="single" w:sz="4" w:space="0" w:color="auto"/>
              <w:bottom w:val="single" w:sz="4" w:space="0" w:color="auto"/>
              <w:right w:val="single" w:sz="4" w:space="0" w:color="auto"/>
            </w:tcBorders>
            <w:shd w:val="clear" w:color="000000" w:fill="B6DDE8"/>
          </w:tcPr>
          <w:p w:rsidR="008F17A2" w:rsidRPr="00887D81" w:rsidRDefault="008F17A2" w:rsidP="00887D81">
            <w:pPr>
              <w:spacing w:after="0" w:line="240" w:lineRule="auto"/>
              <w:ind w:firstLine="709"/>
              <w:jc w:val="both"/>
              <w:rPr>
                <w:rFonts w:ascii="Times New Roman" w:hAnsi="Times New Roman"/>
                <w:b/>
                <w:bCs/>
                <w:sz w:val="24"/>
                <w:szCs w:val="24"/>
              </w:rPr>
            </w:pPr>
            <w:r w:rsidRPr="00887D81">
              <w:rPr>
                <w:rFonts w:ascii="Times New Roman" w:hAnsi="Times New Roman"/>
                <w:b/>
                <w:bCs/>
                <w:sz w:val="24"/>
                <w:szCs w:val="24"/>
              </w:rPr>
              <w:t>2011год</w:t>
            </w:r>
          </w:p>
        </w:tc>
        <w:tc>
          <w:tcPr>
            <w:tcW w:w="1418" w:type="dxa"/>
            <w:tcBorders>
              <w:top w:val="nil"/>
              <w:left w:val="nil"/>
              <w:bottom w:val="single" w:sz="4" w:space="0" w:color="auto"/>
              <w:right w:val="single" w:sz="4" w:space="0" w:color="auto"/>
            </w:tcBorders>
            <w:shd w:val="clear" w:color="000000" w:fill="B6DDE8"/>
          </w:tcPr>
          <w:p w:rsidR="008F17A2" w:rsidRPr="00887D81" w:rsidRDefault="008F17A2" w:rsidP="00887D81">
            <w:pPr>
              <w:spacing w:after="0" w:line="240" w:lineRule="auto"/>
              <w:ind w:firstLine="709"/>
              <w:jc w:val="both"/>
              <w:rPr>
                <w:rFonts w:ascii="Times New Roman" w:hAnsi="Times New Roman"/>
                <w:b/>
                <w:bCs/>
                <w:sz w:val="24"/>
                <w:szCs w:val="24"/>
              </w:rPr>
            </w:pPr>
            <w:r w:rsidRPr="00887D81">
              <w:rPr>
                <w:rFonts w:ascii="Times New Roman" w:hAnsi="Times New Roman"/>
                <w:b/>
                <w:bCs/>
                <w:sz w:val="24"/>
                <w:szCs w:val="24"/>
              </w:rPr>
              <w:t>2012 год</w:t>
            </w:r>
          </w:p>
        </w:tc>
      </w:tr>
      <w:tr w:rsidR="008F17A2" w:rsidRPr="00887D81" w:rsidTr="00887D81">
        <w:trPr>
          <w:trHeight w:val="455"/>
        </w:trPr>
        <w:tc>
          <w:tcPr>
            <w:tcW w:w="6966" w:type="dxa"/>
            <w:tcBorders>
              <w:top w:val="single" w:sz="4" w:space="0" w:color="auto"/>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Единовременное пособие на рождение ребенка</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7 319</w:t>
            </w:r>
          </w:p>
        </w:tc>
        <w:tc>
          <w:tcPr>
            <w:tcW w:w="1418"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jc w:val="both"/>
              <w:rPr>
                <w:rFonts w:ascii="Times New Roman" w:hAnsi="Times New Roman"/>
                <w:sz w:val="24"/>
                <w:szCs w:val="24"/>
              </w:rPr>
            </w:pPr>
            <w:r w:rsidRPr="00887D81">
              <w:rPr>
                <w:rFonts w:ascii="Times New Roman" w:hAnsi="Times New Roman"/>
                <w:sz w:val="24"/>
                <w:szCs w:val="24"/>
              </w:rPr>
              <w:t>7 712</w:t>
            </w:r>
          </w:p>
        </w:tc>
      </w:tr>
      <w:tr w:rsidR="008F17A2" w:rsidRPr="00887D81" w:rsidTr="00887D81">
        <w:trPr>
          <w:trHeight w:val="690"/>
        </w:trPr>
        <w:tc>
          <w:tcPr>
            <w:tcW w:w="6966"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Ежемесячное пособие по уходу за ребенком до 1,5 лет лицам, уволенным в связи с ликвидацией предприятия</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196</w:t>
            </w:r>
          </w:p>
        </w:tc>
        <w:tc>
          <w:tcPr>
            <w:tcW w:w="1418"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jc w:val="both"/>
              <w:rPr>
                <w:rFonts w:ascii="Times New Roman" w:hAnsi="Times New Roman"/>
                <w:sz w:val="24"/>
                <w:szCs w:val="24"/>
              </w:rPr>
            </w:pPr>
            <w:r w:rsidRPr="00887D81">
              <w:rPr>
                <w:rFonts w:ascii="Times New Roman" w:hAnsi="Times New Roman"/>
                <w:sz w:val="24"/>
                <w:szCs w:val="24"/>
              </w:rPr>
              <w:t>228</w:t>
            </w:r>
          </w:p>
        </w:tc>
      </w:tr>
      <w:tr w:rsidR="008F17A2" w:rsidRPr="00887D81" w:rsidTr="00887D81">
        <w:trPr>
          <w:trHeight w:val="699"/>
        </w:trPr>
        <w:tc>
          <w:tcPr>
            <w:tcW w:w="6966"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Ежемесячное пособие по уходу за ребенком до 1,5 лет лицам, не подлежащим обязательному социальному страхованию</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3B0E00">
            <w:pPr>
              <w:spacing w:after="0" w:line="240" w:lineRule="auto"/>
              <w:jc w:val="both"/>
              <w:rPr>
                <w:rFonts w:ascii="Times New Roman" w:hAnsi="Times New Roman"/>
                <w:sz w:val="24"/>
                <w:szCs w:val="24"/>
              </w:rPr>
            </w:pPr>
            <w:r w:rsidRPr="00887D81">
              <w:rPr>
                <w:rFonts w:ascii="Times New Roman" w:hAnsi="Times New Roman"/>
                <w:sz w:val="24"/>
                <w:szCs w:val="24"/>
              </w:rPr>
              <w:t>18 392</w:t>
            </w:r>
          </w:p>
        </w:tc>
        <w:tc>
          <w:tcPr>
            <w:tcW w:w="1418"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jc w:val="both"/>
              <w:rPr>
                <w:rFonts w:ascii="Times New Roman" w:hAnsi="Times New Roman"/>
                <w:sz w:val="24"/>
                <w:szCs w:val="24"/>
              </w:rPr>
            </w:pPr>
            <w:r w:rsidRPr="00887D81">
              <w:rPr>
                <w:rFonts w:ascii="Times New Roman" w:hAnsi="Times New Roman"/>
                <w:sz w:val="24"/>
                <w:szCs w:val="24"/>
              </w:rPr>
              <w:t>19 324</w:t>
            </w:r>
          </w:p>
        </w:tc>
      </w:tr>
      <w:tr w:rsidR="008F17A2" w:rsidRPr="00887D81" w:rsidTr="00887D81">
        <w:trPr>
          <w:trHeight w:val="698"/>
        </w:trPr>
        <w:tc>
          <w:tcPr>
            <w:tcW w:w="6966"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Ежемесячное пособие на ребенка в возрасте до 16 лет в семьях с доходами ниже ПМ Республики Татарстан</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3B0E00">
            <w:pPr>
              <w:spacing w:after="0" w:line="240" w:lineRule="auto"/>
              <w:jc w:val="both"/>
              <w:rPr>
                <w:rFonts w:ascii="Times New Roman" w:hAnsi="Times New Roman"/>
                <w:sz w:val="24"/>
                <w:szCs w:val="24"/>
              </w:rPr>
            </w:pPr>
            <w:r w:rsidRPr="00887D81">
              <w:rPr>
                <w:rFonts w:ascii="Times New Roman" w:hAnsi="Times New Roman"/>
                <w:sz w:val="24"/>
                <w:szCs w:val="24"/>
              </w:rPr>
              <w:t>87 914</w:t>
            </w:r>
          </w:p>
        </w:tc>
        <w:tc>
          <w:tcPr>
            <w:tcW w:w="1418"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jc w:val="both"/>
              <w:rPr>
                <w:rFonts w:ascii="Times New Roman" w:hAnsi="Times New Roman"/>
                <w:sz w:val="24"/>
                <w:szCs w:val="24"/>
              </w:rPr>
            </w:pPr>
            <w:r w:rsidRPr="00887D81">
              <w:rPr>
                <w:rFonts w:ascii="Times New Roman" w:hAnsi="Times New Roman"/>
                <w:sz w:val="24"/>
                <w:szCs w:val="24"/>
              </w:rPr>
              <w:t>84 244</w:t>
            </w:r>
          </w:p>
        </w:tc>
      </w:tr>
      <w:tr w:rsidR="008F17A2" w:rsidRPr="00887D81" w:rsidTr="00887D81">
        <w:trPr>
          <w:trHeight w:val="690"/>
        </w:trPr>
        <w:tc>
          <w:tcPr>
            <w:tcW w:w="6966"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Компенсация части родительской платы за посещение детьми дошкольных учреждений</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3B0E00">
            <w:pPr>
              <w:spacing w:after="0" w:line="240" w:lineRule="auto"/>
              <w:jc w:val="both"/>
              <w:rPr>
                <w:rFonts w:ascii="Times New Roman" w:hAnsi="Times New Roman"/>
                <w:sz w:val="24"/>
                <w:szCs w:val="24"/>
              </w:rPr>
            </w:pPr>
            <w:r w:rsidRPr="00887D81">
              <w:rPr>
                <w:rFonts w:ascii="Times New Roman" w:hAnsi="Times New Roman"/>
                <w:sz w:val="24"/>
                <w:szCs w:val="24"/>
              </w:rPr>
              <w:t>77 639</w:t>
            </w:r>
          </w:p>
        </w:tc>
        <w:tc>
          <w:tcPr>
            <w:tcW w:w="1418"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jc w:val="both"/>
              <w:rPr>
                <w:rFonts w:ascii="Times New Roman" w:hAnsi="Times New Roman"/>
                <w:sz w:val="24"/>
                <w:szCs w:val="24"/>
              </w:rPr>
            </w:pPr>
            <w:r w:rsidRPr="00887D81">
              <w:rPr>
                <w:rFonts w:ascii="Times New Roman" w:hAnsi="Times New Roman"/>
                <w:sz w:val="24"/>
                <w:szCs w:val="24"/>
              </w:rPr>
              <w:t>92 178</w:t>
            </w:r>
          </w:p>
        </w:tc>
      </w:tr>
      <w:tr w:rsidR="008F17A2" w:rsidRPr="00887D81" w:rsidTr="00887D81">
        <w:trPr>
          <w:trHeight w:val="690"/>
        </w:trPr>
        <w:tc>
          <w:tcPr>
            <w:tcW w:w="6966"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Единовременное пособие на рождение ребенка военнослужащего срочной службы</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3B0E00">
            <w:pPr>
              <w:spacing w:after="0" w:line="240" w:lineRule="auto"/>
              <w:jc w:val="both"/>
              <w:rPr>
                <w:rFonts w:ascii="Times New Roman" w:hAnsi="Times New Roman"/>
                <w:sz w:val="24"/>
                <w:szCs w:val="24"/>
              </w:rPr>
            </w:pPr>
            <w:r w:rsidRPr="00887D81">
              <w:rPr>
                <w:rFonts w:ascii="Times New Roman" w:hAnsi="Times New Roman"/>
                <w:sz w:val="24"/>
                <w:szCs w:val="24"/>
              </w:rPr>
              <w:t>109</w:t>
            </w:r>
          </w:p>
        </w:tc>
        <w:tc>
          <w:tcPr>
            <w:tcW w:w="1418"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rPr>
                <w:rFonts w:ascii="Times New Roman" w:hAnsi="Times New Roman"/>
                <w:sz w:val="24"/>
                <w:szCs w:val="24"/>
              </w:rPr>
            </w:pPr>
            <w:r w:rsidRPr="00887D81">
              <w:rPr>
                <w:rFonts w:ascii="Times New Roman" w:hAnsi="Times New Roman"/>
                <w:sz w:val="24"/>
                <w:szCs w:val="24"/>
              </w:rPr>
              <w:t>54</w:t>
            </w:r>
          </w:p>
        </w:tc>
      </w:tr>
      <w:tr w:rsidR="008F17A2" w:rsidRPr="00887D81" w:rsidTr="00887D81">
        <w:trPr>
          <w:trHeight w:val="690"/>
        </w:trPr>
        <w:tc>
          <w:tcPr>
            <w:tcW w:w="6966"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Ежемесячное пособие на ребенка военнослужащего срочной службы</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251</w:t>
            </w:r>
          </w:p>
        </w:tc>
        <w:tc>
          <w:tcPr>
            <w:tcW w:w="1418"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rPr>
                <w:rFonts w:ascii="Times New Roman" w:hAnsi="Times New Roman"/>
                <w:sz w:val="24"/>
                <w:szCs w:val="24"/>
              </w:rPr>
            </w:pPr>
            <w:r w:rsidRPr="00887D81">
              <w:rPr>
                <w:rFonts w:ascii="Times New Roman" w:hAnsi="Times New Roman"/>
                <w:sz w:val="24"/>
                <w:szCs w:val="24"/>
              </w:rPr>
              <w:t>129</w:t>
            </w:r>
          </w:p>
        </w:tc>
      </w:tr>
      <w:tr w:rsidR="008F17A2" w:rsidRPr="00887D81" w:rsidTr="00887D81">
        <w:trPr>
          <w:trHeight w:val="345"/>
        </w:trPr>
        <w:tc>
          <w:tcPr>
            <w:tcW w:w="6966"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Субсидия-льгота на оплату ЖКУ многодетным семьям</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3B0E00">
            <w:pPr>
              <w:spacing w:after="0" w:line="240" w:lineRule="auto"/>
              <w:jc w:val="both"/>
              <w:rPr>
                <w:rFonts w:ascii="Times New Roman" w:hAnsi="Times New Roman"/>
                <w:sz w:val="24"/>
                <w:szCs w:val="24"/>
              </w:rPr>
            </w:pPr>
            <w:r w:rsidRPr="00887D81">
              <w:rPr>
                <w:rFonts w:ascii="Times New Roman" w:hAnsi="Times New Roman"/>
                <w:sz w:val="24"/>
                <w:szCs w:val="24"/>
              </w:rPr>
              <w:t>84 774</w:t>
            </w:r>
          </w:p>
        </w:tc>
        <w:tc>
          <w:tcPr>
            <w:tcW w:w="1418"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rPr>
                <w:rFonts w:ascii="Times New Roman" w:hAnsi="Times New Roman"/>
                <w:sz w:val="24"/>
                <w:szCs w:val="24"/>
              </w:rPr>
            </w:pPr>
            <w:r w:rsidRPr="00887D81">
              <w:rPr>
                <w:rFonts w:ascii="Times New Roman" w:hAnsi="Times New Roman"/>
                <w:sz w:val="24"/>
                <w:szCs w:val="24"/>
              </w:rPr>
              <w:t>92 502</w:t>
            </w:r>
          </w:p>
        </w:tc>
      </w:tr>
      <w:tr w:rsidR="008F17A2" w:rsidRPr="00887D81" w:rsidTr="00887D81">
        <w:trPr>
          <w:trHeight w:val="690"/>
        </w:trPr>
        <w:tc>
          <w:tcPr>
            <w:tcW w:w="6966"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xml:space="preserve">Субсидия на приобретение лекарственных средств для детей в </w:t>
            </w:r>
            <w:proofErr w:type="gramStart"/>
            <w:r w:rsidRPr="00887D81">
              <w:rPr>
                <w:rFonts w:ascii="Times New Roman" w:hAnsi="Times New Roman"/>
                <w:sz w:val="24"/>
                <w:szCs w:val="24"/>
              </w:rPr>
              <w:t>возрасте</w:t>
            </w:r>
            <w:proofErr w:type="gramEnd"/>
            <w:r w:rsidRPr="00887D81">
              <w:rPr>
                <w:rFonts w:ascii="Times New Roman" w:hAnsi="Times New Roman"/>
                <w:sz w:val="24"/>
                <w:szCs w:val="24"/>
              </w:rPr>
              <w:t xml:space="preserve"> до 6 лет из многодетных семей</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3B0E00">
            <w:pPr>
              <w:spacing w:after="0" w:line="240" w:lineRule="auto"/>
              <w:jc w:val="both"/>
              <w:rPr>
                <w:rFonts w:ascii="Times New Roman" w:hAnsi="Times New Roman"/>
                <w:sz w:val="24"/>
                <w:szCs w:val="24"/>
              </w:rPr>
            </w:pPr>
            <w:r w:rsidRPr="00887D81">
              <w:rPr>
                <w:rFonts w:ascii="Times New Roman" w:hAnsi="Times New Roman"/>
                <w:sz w:val="24"/>
                <w:szCs w:val="24"/>
              </w:rPr>
              <w:t>26 541</w:t>
            </w:r>
          </w:p>
        </w:tc>
        <w:tc>
          <w:tcPr>
            <w:tcW w:w="1418"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rPr>
                <w:rFonts w:ascii="Times New Roman" w:hAnsi="Times New Roman"/>
                <w:sz w:val="24"/>
                <w:szCs w:val="24"/>
              </w:rPr>
            </w:pPr>
            <w:r w:rsidRPr="00887D81">
              <w:rPr>
                <w:rFonts w:ascii="Times New Roman" w:hAnsi="Times New Roman"/>
                <w:sz w:val="24"/>
                <w:szCs w:val="24"/>
              </w:rPr>
              <w:t>29 841</w:t>
            </w:r>
          </w:p>
        </w:tc>
      </w:tr>
      <w:tr w:rsidR="008F17A2" w:rsidRPr="00887D81" w:rsidTr="00887D81">
        <w:trPr>
          <w:trHeight w:val="690"/>
        </w:trPr>
        <w:tc>
          <w:tcPr>
            <w:tcW w:w="6966"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Ежемесячная субсидия на проезд учащимся детям до 16 (18) лет из многодетных семей</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3B0E00">
            <w:pPr>
              <w:spacing w:after="0" w:line="240" w:lineRule="auto"/>
              <w:jc w:val="both"/>
              <w:rPr>
                <w:rFonts w:ascii="Times New Roman" w:hAnsi="Times New Roman"/>
                <w:sz w:val="24"/>
                <w:szCs w:val="24"/>
              </w:rPr>
            </w:pPr>
            <w:r w:rsidRPr="00887D81">
              <w:rPr>
                <w:rFonts w:ascii="Times New Roman" w:hAnsi="Times New Roman"/>
                <w:sz w:val="24"/>
                <w:szCs w:val="24"/>
              </w:rPr>
              <w:t>30 290</w:t>
            </w:r>
          </w:p>
        </w:tc>
        <w:tc>
          <w:tcPr>
            <w:tcW w:w="1418"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rPr>
                <w:rFonts w:ascii="Times New Roman" w:hAnsi="Times New Roman"/>
                <w:sz w:val="24"/>
                <w:szCs w:val="24"/>
              </w:rPr>
            </w:pPr>
            <w:r w:rsidRPr="00887D81">
              <w:rPr>
                <w:rFonts w:ascii="Times New Roman" w:hAnsi="Times New Roman"/>
                <w:sz w:val="24"/>
                <w:szCs w:val="24"/>
              </w:rPr>
              <w:t>30 825</w:t>
            </w:r>
          </w:p>
        </w:tc>
      </w:tr>
      <w:tr w:rsidR="008F17A2" w:rsidRPr="00887D81" w:rsidTr="00887D81">
        <w:trPr>
          <w:trHeight w:val="391"/>
        </w:trPr>
        <w:tc>
          <w:tcPr>
            <w:tcW w:w="6966"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Пособие в связи с рождением одновременно трех и более детей</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12</w:t>
            </w:r>
          </w:p>
        </w:tc>
        <w:tc>
          <w:tcPr>
            <w:tcW w:w="1418"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rPr>
                <w:rFonts w:ascii="Times New Roman" w:hAnsi="Times New Roman"/>
                <w:sz w:val="24"/>
                <w:szCs w:val="24"/>
              </w:rPr>
            </w:pPr>
            <w:r w:rsidRPr="00887D81">
              <w:rPr>
                <w:rFonts w:ascii="Times New Roman" w:hAnsi="Times New Roman"/>
                <w:sz w:val="24"/>
                <w:szCs w:val="24"/>
              </w:rPr>
              <w:t>6</w:t>
            </w:r>
          </w:p>
        </w:tc>
      </w:tr>
      <w:tr w:rsidR="008F17A2" w:rsidRPr="00887D81" w:rsidTr="00887D81">
        <w:trPr>
          <w:trHeight w:val="708"/>
        </w:trPr>
        <w:tc>
          <w:tcPr>
            <w:tcW w:w="6966"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Ежемесячное пособие семьям, воспитывающим трех и более одновременно рожденных детей в возрасте до 1,5 лет</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15</w:t>
            </w:r>
          </w:p>
        </w:tc>
        <w:tc>
          <w:tcPr>
            <w:tcW w:w="1418"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rPr>
                <w:rFonts w:ascii="Times New Roman" w:hAnsi="Times New Roman"/>
                <w:sz w:val="24"/>
                <w:szCs w:val="24"/>
              </w:rPr>
            </w:pPr>
            <w:r w:rsidRPr="00887D81">
              <w:rPr>
                <w:rFonts w:ascii="Times New Roman" w:hAnsi="Times New Roman"/>
                <w:sz w:val="24"/>
                <w:szCs w:val="24"/>
              </w:rPr>
              <w:t>12</w:t>
            </w:r>
          </w:p>
        </w:tc>
      </w:tr>
      <w:tr w:rsidR="008F17A2" w:rsidRPr="00887D81" w:rsidTr="00887D81">
        <w:trPr>
          <w:trHeight w:val="1013"/>
        </w:trPr>
        <w:tc>
          <w:tcPr>
            <w:tcW w:w="6966" w:type="dxa"/>
            <w:tcBorders>
              <w:top w:val="nil"/>
              <w:left w:val="single" w:sz="4" w:space="0" w:color="auto"/>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Ежемесячной денежная выплата детям – инвалидам, нуждающимся в постоянном постороннем уходе (помощи, надзоре)</w:t>
            </w:r>
          </w:p>
        </w:tc>
        <w:tc>
          <w:tcPr>
            <w:tcW w:w="1559"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w:t>
            </w:r>
          </w:p>
        </w:tc>
        <w:tc>
          <w:tcPr>
            <w:tcW w:w="1418" w:type="dxa"/>
            <w:tcBorders>
              <w:top w:val="nil"/>
              <w:left w:val="nil"/>
              <w:bottom w:val="single" w:sz="4" w:space="0" w:color="auto"/>
              <w:right w:val="single" w:sz="4" w:space="0" w:color="auto"/>
            </w:tcBorders>
            <w:shd w:val="clear" w:color="000000" w:fill="FFFFFF"/>
          </w:tcPr>
          <w:p w:rsidR="008F17A2" w:rsidRPr="00887D81" w:rsidRDefault="008F17A2" w:rsidP="00887D81">
            <w:pPr>
              <w:spacing w:after="0" w:line="240" w:lineRule="auto"/>
              <w:ind w:firstLine="709"/>
              <w:rPr>
                <w:rFonts w:ascii="Times New Roman" w:hAnsi="Times New Roman"/>
                <w:sz w:val="24"/>
                <w:szCs w:val="24"/>
              </w:rPr>
            </w:pPr>
            <w:r w:rsidRPr="00887D81">
              <w:rPr>
                <w:rFonts w:ascii="Times New Roman" w:hAnsi="Times New Roman"/>
                <w:sz w:val="24"/>
                <w:szCs w:val="24"/>
              </w:rPr>
              <w:t>642</w:t>
            </w:r>
          </w:p>
        </w:tc>
      </w:tr>
    </w:tbl>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В течение 2012 года проводилась работа по оказанию государственной социальной помощи (в том числе на основе социального контракта) малообеспеченным семьям, семьям, оказавшимся в трудной жизненной ситуации.  Материальную помощь получили  19053 человека,  средний размер выплаты на одного человека составил в 2012 году 2677 рублей.  В целом на указанные цели из бюджета Республики Татарстан направлено 51, 0 млн. рублей.</w:t>
      </w: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b/>
          <w:bCs/>
          <w:sz w:val="24"/>
          <w:szCs w:val="24"/>
        </w:rPr>
      </w:pPr>
      <w:r w:rsidRPr="00887D81">
        <w:rPr>
          <w:rFonts w:ascii="Times New Roman" w:hAnsi="Times New Roman"/>
          <w:b/>
          <w:bCs/>
          <w:sz w:val="24"/>
          <w:szCs w:val="24"/>
        </w:rPr>
        <w:t>Оказание государственной социальной помощи</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w:t>
      </w: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287A71" w:rsidP="00887D81">
      <w:pPr>
        <w:spacing w:after="0" w:line="240" w:lineRule="auto"/>
        <w:ind w:firstLine="709"/>
        <w:jc w:val="both"/>
        <w:rPr>
          <w:rFonts w:ascii="Times New Roman" w:hAnsi="Times New Roman"/>
          <w:sz w:val="24"/>
          <w:szCs w:val="24"/>
        </w:rPr>
      </w:pPr>
      <w:r w:rsidRPr="00287A71">
        <w:rPr>
          <w:noProof/>
        </w:rPr>
        <w:pict>
          <v:rect id="_x0000_s1027" style="position:absolute;left:0;text-align:left;margin-left:17.3pt;margin-top:3.3pt;width:470.05pt;height:279.35pt;z-index:251659264" o:preferrelative="t" filled="f" stroked="f" insetpen="t" o:cliptowrap="t">
            <v:imagedata r:id="rId31" o:title=""/>
            <v:path o:extrusionok="f"/>
            <o:lock v:ext="edit" aspectratio="t"/>
          </v:rect>
          <o:OLEObject Type="Embed" ProgID="Excel.Sheet.12" ShapeID="_x0000_s1027" DrawAspect="Content" ObjectID="_1421131397" r:id="rId32"/>
        </w:pict>
      </w: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8"/>
        <w:jc w:val="both"/>
        <w:rPr>
          <w:rFonts w:ascii="Times New Roman" w:hAnsi="Times New Roman"/>
          <w:sz w:val="24"/>
          <w:szCs w:val="24"/>
        </w:rPr>
      </w:pPr>
      <w:r w:rsidRPr="00887D81">
        <w:rPr>
          <w:rFonts w:ascii="Times New Roman" w:hAnsi="Times New Roman"/>
          <w:sz w:val="24"/>
          <w:szCs w:val="24"/>
        </w:rPr>
        <w:t xml:space="preserve">Помимо денежных выплат гражданам, находящимся в трудной жизненной ситуации, оказывалась помощь в  трудоустройстве,  в оформлении гражданства, в постановке на миграционный учет, в оформлении регистрации по месту жительства, в  восстановлении и оформлении документов, в прохождении медицинского обследования, лечении, в покупке товаров первой необходимости.  </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xml:space="preserve"> Кроме того, в 2012 году осуществлялась реализация  социальной   программы с привлечением субсидий Пенсионного фонда Российской Федерации. В рамках программы была оказана адресная социальная помощь 783 неработающим пенсионерам, получающим трудовые пенсии по старости и по инвалидности,   на общую сумму 4 667,8  тыс. рублей.</w:t>
      </w:r>
    </w:p>
    <w:p w:rsidR="008F17A2" w:rsidRPr="00887D81" w:rsidRDefault="008F17A2" w:rsidP="00887D81">
      <w:pPr>
        <w:spacing w:after="0" w:line="240" w:lineRule="auto"/>
        <w:ind w:firstLine="709"/>
        <w:jc w:val="both"/>
        <w:rPr>
          <w:rFonts w:ascii="Times New Roman" w:hAnsi="Times New Roman"/>
          <w:sz w:val="24"/>
          <w:szCs w:val="24"/>
        </w:rPr>
      </w:pPr>
      <w:proofErr w:type="gramStart"/>
      <w:r w:rsidRPr="00887D81">
        <w:rPr>
          <w:rFonts w:ascii="Times New Roman" w:hAnsi="Times New Roman"/>
          <w:sz w:val="24"/>
          <w:szCs w:val="24"/>
        </w:rPr>
        <w:t>В 2012 году органами социальной защиты продолжалось предоставление  единовременных, ежегодных и ежемесячных социальных выплат детям-сиротам, детям, оставшимся без попечения родителей, лицам из числа детей-сирот и детей, оставшихся без попечения родителей, инвалидам, обучающимся в учреждениях начального, среднего и высшего профессионального образования, финансируемых за счет средств бюджета Республики Татарстан.</w:t>
      </w:r>
      <w:proofErr w:type="gramEnd"/>
      <w:r w:rsidRPr="00887D81">
        <w:rPr>
          <w:rFonts w:ascii="Times New Roman" w:hAnsi="Times New Roman"/>
          <w:sz w:val="24"/>
          <w:szCs w:val="24"/>
        </w:rPr>
        <w:t xml:space="preserve">  </w:t>
      </w:r>
      <w:proofErr w:type="gramStart"/>
      <w:r w:rsidRPr="00887D81">
        <w:rPr>
          <w:rFonts w:ascii="Times New Roman" w:hAnsi="Times New Roman"/>
          <w:sz w:val="24"/>
          <w:szCs w:val="24"/>
        </w:rPr>
        <w:t>В 2012 году единовременное пособие при выпуске из образовательного учреждения и единовременное пособие на обеспечение одеждой, обувью, мягким инвентарем и оборудованием при выпуске из образовательного учреждения получили 531 выпускник,  ежегодное пособие на приобретение учебной литературы и письменных принадлежностей назначено  2 228 студентам, ежегодное пособие на приобретение одежды, обуви и мягкого инвентаря – 1 753 студентам.</w:t>
      </w:r>
      <w:proofErr w:type="gramEnd"/>
      <w:r w:rsidRPr="00887D81">
        <w:rPr>
          <w:rFonts w:ascii="Times New Roman" w:hAnsi="Times New Roman"/>
          <w:sz w:val="24"/>
          <w:szCs w:val="24"/>
        </w:rPr>
        <w:t xml:space="preserve"> Ежемесячное пособие на питание было перечислено на счета 1 313 сирот. Ежемесячная стипендия выплачивалась 2877 чел., в том числе и детям-инвалидам. </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xml:space="preserve">В  2012 году во исполнение закона Республики Татарстан от 30 июня 2011 года № 33-ЗРТ «О порядке и условиях присвоения звания «Ветеран труда» 10 216 человек присвоено звание «Ветеран труда». Выданы разрешения на замену справок на удостоверения  ветерана труда 16,5 тыс. человек. </w:t>
      </w: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b/>
          <w:sz w:val="24"/>
          <w:szCs w:val="24"/>
        </w:rPr>
      </w:pPr>
      <w:r w:rsidRPr="00887D81">
        <w:rPr>
          <w:rFonts w:ascii="Times New Roman" w:hAnsi="Times New Roman"/>
          <w:b/>
          <w:sz w:val="24"/>
          <w:szCs w:val="24"/>
        </w:rPr>
        <w:t>Меры</w:t>
      </w:r>
      <w:r>
        <w:rPr>
          <w:rFonts w:ascii="Times New Roman" w:hAnsi="Times New Roman"/>
          <w:b/>
          <w:sz w:val="24"/>
          <w:szCs w:val="24"/>
        </w:rPr>
        <w:t xml:space="preserve"> </w:t>
      </w:r>
      <w:r w:rsidRPr="00887D81">
        <w:rPr>
          <w:rFonts w:ascii="Times New Roman" w:hAnsi="Times New Roman"/>
          <w:b/>
          <w:sz w:val="24"/>
          <w:szCs w:val="24"/>
        </w:rPr>
        <w:t xml:space="preserve"> социальной поддержки по оплате жилищно-коммунальных услуг</w:t>
      </w: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bCs/>
          <w:iCs/>
          <w:sz w:val="24"/>
          <w:szCs w:val="24"/>
        </w:rPr>
      </w:pPr>
      <w:r w:rsidRPr="00887D81">
        <w:rPr>
          <w:rFonts w:ascii="Times New Roman" w:hAnsi="Times New Roman"/>
          <w:i/>
          <w:sz w:val="24"/>
          <w:szCs w:val="24"/>
        </w:rPr>
        <w:t xml:space="preserve">  </w:t>
      </w:r>
      <w:r w:rsidRPr="00887D81">
        <w:rPr>
          <w:rFonts w:ascii="Times New Roman" w:hAnsi="Times New Roman"/>
          <w:sz w:val="24"/>
          <w:szCs w:val="24"/>
        </w:rPr>
        <w:t>В течение 2012 года осуществлялась работа по предоставлению</w:t>
      </w:r>
      <w:r w:rsidRPr="00887D81">
        <w:rPr>
          <w:rFonts w:ascii="Times New Roman" w:hAnsi="Times New Roman"/>
          <w:b/>
          <w:sz w:val="24"/>
          <w:szCs w:val="24"/>
        </w:rPr>
        <w:t xml:space="preserve"> </w:t>
      </w:r>
      <w:r w:rsidRPr="00887D81">
        <w:rPr>
          <w:rFonts w:ascii="Times New Roman" w:hAnsi="Times New Roman"/>
          <w:bCs/>
          <w:iCs/>
          <w:sz w:val="24"/>
          <w:szCs w:val="24"/>
        </w:rPr>
        <w:t xml:space="preserve"> мер социальной поддержки населению по оплате жилья и коммунальных услуг.</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Средний размер субсидии-льготы на оплату жилищно-коммунальных услуг из числа граждан, меры социальной поддержки которых установлены  федеральным законодательством (инвалиды, участники ВОВ, «чернобыльцы» и т.д.)  составил в 2012 году  597,38 рублей в месяц, число получателей – 334 500 человек. На указанные цели по итогам 2012 года направлены средства в сумме 2,129 млрд. рублей.</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Средний размер субсидии-льготы «региональных» льготников (ветеранов труда, многодетных семьей  реабилитированных лиц и лиц, пострадавших от политических репрессий и т.д.)</w:t>
      </w:r>
      <w:r w:rsidRPr="00887D81">
        <w:rPr>
          <w:rFonts w:ascii="Times New Roman" w:hAnsi="Times New Roman"/>
          <w:b/>
          <w:sz w:val="24"/>
          <w:szCs w:val="24"/>
        </w:rPr>
        <w:t xml:space="preserve"> </w:t>
      </w:r>
      <w:r w:rsidRPr="00887D81">
        <w:rPr>
          <w:rFonts w:ascii="Times New Roman" w:hAnsi="Times New Roman"/>
          <w:sz w:val="24"/>
          <w:szCs w:val="24"/>
        </w:rPr>
        <w:t>составил 455,56 рублей в месяц. Число получателей составило 352 609 человек, направлено на указанные цели</w:t>
      </w:r>
      <w:r w:rsidRPr="00887D81">
        <w:rPr>
          <w:rFonts w:ascii="Times New Roman" w:hAnsi="Times New Roman"/>
          <w:i/>
          <w:sz w:val="24"/>
          <w:szCs w:val="24"/>
        </w:rPr>
        <w:t xml:space="preserve"> </w:t>
      </w:r>
      <w:r w:rsidRPr="00887D81">
        <w:rPr>
          <w:rFonts w:ascii="Times New Roman" w:hAnsi="Times New Roman"/>
          <w:sz w:val="24"/>
          <w:szCs w:val="24"/>
        </w:rPr>
        <w:t xml:space="preserve">1,748  млрд. рублей. </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xml:space="preserve"> </w:t>
      </w:r>
      <w:r w:rsidRPr="00887D81">
        <w:rPr>
          <w:rFonts w:ascii="Times New Roman" w:hAnsi="Times New Roman"/>
          <w:b/>
          <w:sz w:val="24"/>
          <w:szCs w:val="24"/>
        </w:rPr>
        <w:t xml:space="preserve"> </w:t>
      </w:r>
      <w:r w:rsidRPr="00887D81">
        <w:rPr>
          <w:rFonts w:ascii="Times New Roman" w:hAnsi="Times New Roman"/>
          <w:sz w:val="24"/>
          <w:szCs w:val="24"/>
        </w:rPr>
        <w:t>На предоставление  субсидий на оплату ЖКУ, установленных, в том числе, в соответствии с Жилищным кодексом Российской Федерации,  в 2012 году было направлено  864,2 млн. рублей</w:t>
      </w:r>
      <w:r w:rsidRPr="00887D81">
        <w:rPr>
          <w:rFonts w:ascii="Times New Roman" w:hAnsi="Times New Roman"/>
          <w:i/>
          <w:sz w:val="24"/>
          <w:szCs w:val="24"/>
        </w:rPr>
        <w:t xml:space="preserve">, </w:t>
      </w:r>
      <w:r w:rsidRPr="00887D81">
        <w:rPr>
          <w:rFonts w:ascii="Times New Roman" w:hAnsi="Times New Roman"/>
          <w:sz w:val="24"/>
          <w:szCs w:val="24"/>
        </w:rPr>
        <w:t>получателями субсидий являлись 231 364 семьи.</w:t>
      </w: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xml:space="preserve">Кроме субсидии, предоставляемой гражданам в соответствии с Жилищным Кодексом Российской Федерации, в республике введены дополнительные меры социальной поддержки при оплате за жилищно-коммунальные услуги, компенсирующие рост тарифов, предоставляемые гражданам в зависимости от доходов семьи: </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субсидия, предоставляемая в соответствии с максимально допустимым уровнем роста платежа населения за ЖКУ вследствие перехода с 2005 года на 100-процентную оплату населением экономически обоснованной стоимости услуг организаций жилищно-коммунального комплекса;</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субсидия, предоставляемая гражданам вследствие превышения установленных Федеральной службой по тарифам для Республики Татарстан на 2008 год предельных максимальных индексов изменения размера платы граждан за жилое помещение и коммунальные услуги;</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субсидия на централизованное отопление сверхнормативной площади;</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субсидия на платеж за установку поквартирных систем отопления;</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единовременная субсидия на установку приборов учета электрической энергии, предоставляемая гражданам в зависимости от доходов семьи.</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xml:space="preserve">Дополнительно предоставляется субсидия на сглаживание роста уровня платежа населения </w:t>
      </w:r>
      <w:proofErr w:type="spellStart"/>
      <w:r w:rsidRPr="00887D81">
        <w:rPr>
          <w:rFonts w:ascii="Times New Roman" w:hAnsi="Times New Roman"/>
          <w:sz w:val="24"/>
          <w:szCs w:val="24"/>
        </w:rPr>
        <w:t>пгт</w:t>
      </w:r>
      <w:proofErr w:type="spellEnd"/>
      <w:r w:rsidRPr="00887D81">
        <w:rPr>
          <w:rFonts w:ascii="Times New Roman" w:hAnsi="Times New Roman"/>
          <w:sz w:val="24"/>
          <w:szCs w:val="24"/>
        </w:rPr>
        <w:t>. Камские Поляны.</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xml:space="preserve">Также предоставляется целевая субсидия на сглаживание резкого роста уровня платежа населения </w:t>
      </w:r>
      <w:proofErr w:type="gramStart"/>
      <w:r w:rsidRPr="00887D81">
        <w:rPr>
          <w:rFonts w:ascii="Times New Roman" w:hAnsi="Times New Roman"/>
          <w:sz w:val="24"/>
          <w:szCs w:val="24"/>
        </w:rPr>
        <w:t>г</w:t>
      </w:r>
      <w:proofErr w:type="gramEnd"/>
      <w:r w:rsidRPr="00887D81">
        <w:rPr>
          <w:rFonts w:ascii="Times New Roman" w:hAnsi="Times New Roman"/>
          <w:sz w:val="24"/>
          <w:szCs w:val="24"/>
        </w:rPr>
        <w:t>. Казани за теплоснабжение, финансируемая за счет средств муниципального бюджета г. Казани.</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Таким образом, в Республике Татарстан предусмотрен достаточно обширный комплекс адресных мер социальной поддержки населения по оплате жилья и коммунальных услуг.</w:t>
      </w: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b/>
          <w:bCs/>
          <w:sz w:val="24"/>
          <w:szCs w:val="24"/>
        </w:rPr>
      </w:pPr>
      <w:r w:rsidRPr="00887D81">
        <w:rPr>
          <w:rFonts w:ascii="Times New Roman" w:hAnsi="Times New Roman"/>
          <w:b/>
          <w:bCs/>
          <w:sz w:val="24"/>
          <w:szCs w:val="24"/>
        </w:rPr>
        <w:object w:dxaOrig="7216" w:dyaOrig="5390">
          <v:shape id="_x0000_i1036" type="#_x0000_t75" style="width:332.25pt;height:164.25pt" o:ole="">
            <v:imagedata r:id="rId33" o:title=""/>
          </v:shape>
          <o:OLEObject Type="Embed" ProgID="PowerPoint.Slide.12" ShapeID="_x0000_i1036" DrawAspect="Content" ObjectID="_1421131396" r:id="rId34"/>
        </w:object>
      </w:r>
    </w:p>
    <w:p w:rsidR="008F17A2" w:rsidRPr="00887D81" w:rsidRDefault="00917EC2" w:rsidP="00887D81">
      <w:pPr>
        <w:spacing w:after="0" w:line="240" w:lineRule="auto"/>
        <w:ind w:firstLine="709"/>
        <w:jc w:val="both"/>
        <w:rPr>
          <w:rFonts w:ascii="Times New Roman" w:hAnsi="Times New Roman"/>
          <w:sz w:val="24"/>
          <w:szCs w:val="24"/>
        </w:rPr>
      </w:pPr>
      <w:r>
        <w:rPr>
          <w:rFonts w:ascii="Times New Roman" w:hAnsi="Times New Roman"/>
          <w:noProof/>
          <w:sz w:val="24"/>
          <w:szCs w:val="24"/>
        </w:rPr>
        <w:drawing>
          <wp:inline distT="0" distB="0" distL="0" distR="0">
            <wp:extent cx="5951220" cy="4008120"/>
            <wp:effectExtent l="0" t="0" r="0" b="0"/>
            <wp:docPr id="18"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F17A2" w:rsidRPr="00887D81" w:rsidRDefault="008F17A2" w:rsidP="00887D81">
      <w:pPr>
        <w:spacing w:after="0" w:line="240" w:lineRule="auto"/>
        <w:ind w:firstLine="709"/>
        <w:jc w:val="both"/>
        <w:rPr>
          <w:rFonts w:ascii="Times New Roman" w:hAnsi="Times New Roman"/>
          <w:b/>
          <w:sz w:val="24"/>
          <w:szCs w:val="24"/>
        </w:rPr>
      </w:pPr>
    </w:p>
    <w:p w:rsidR="008F17A2" w:rsidRPr="00887D81" w:rsidRDefault="008F17A2" w:rsidP="00887D81">
      <w:pPr>
        <w:spacing w:after="0" w:line="240" w:lineRule="auto"/>
        <w:ind w:firstLine="709"/>
        <w:jc w:val="both"/>
        <w:rPr>
          <w:rFonts w:ascii="Times New Roman" w:hAnsi="Times New Roman"/>
          <w:b/>
          <w:sz w:val="24"/>
          <w:szCs w:val="24"/>
        </w:rPr>
      </w:pPr>
      <w:r w:rsidRPr="00887D81">
        <w:rPr>
          <w:rFonts w:ascii="Times New Roman" w:hAnsi="Times New Roman"/>
          <w:b/>
          <w:sz w:val="24"/>
          <w:szCs w:val="24"/>
        </w:rPr>
        <w:t xml:space="preserve">Обеспечение жильем граждан, нуждающихся в улучшении </w:t>
      </w:r>
    </w:p>
    <w:p w:rsidR="008F17A2" w:rsidRPr="00887D81" w:rsidRDefault="008F17A2" w:rsidP="00887D81">
      <w:pPr>
        <w:spacing w:after="0" w:line="240" w:lineRule="auto"/>
        <w:ind w:firstLine="709"/>
        <w:jc w:val="both"/>
        <w:rPr>
          <w:rFonts w:ascii="Times New Roman" w:hAnsi="Times New Roman"/>
          <w:b/>
          <w:sz w:val="24"/>
          <w:szCs w:val="24"/>
        </w:rPr>
      </w:pPr>
      <w:r w:rsidRPr="00887D81">
        <w:rPr>
          <w:rFonts w:ascii="Times New Roman" w:hAnsi="Times New Roman"/>
          <w:b/>
          <w:sz w:val="24"/>
          <w:szCs w:val="24"/>
        </w:rPr>
        <w:t>жилищных условий</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xml:space="preserve">  В течение 2012 года в республике продолжалась работа по реализации государственной программы по обеспечению благоустроенным жильем нуждающихся в улучшении жилищных условий ветеранов Великой Отечественной войны в рамках реализации Указа Президента Российской Федерации от  7 мая 2008 года № 714 «Об обеспечении жильем ветеранов Великой Отечественной войны 1941-1945 годов». Из 17801 ветеранов войны, поставленных на учет в качестве нуждающихся в улучшении жилищных условий, получили субсидии 16689 человек, в том числе в 2012 году -  1884 человека.  </w:t>
      </w:r>
      <w:proofErr w:type="gramStart"/>
      <w:r w:rsidRPr="00887D81">
        <w:rPr>
          <w:rFonts w:ascii="Times New Roman" w:hAnsi="Times New Roman"/>
          <w:sz w:val="24"/>
          <w:szCs w:val="24"/>
        </w:rPr>
        <w:t>Из них 16162 ветерана заселены в приобретенное жилье.</w:t>
      </w:r>
      <w:proofErr w:type="gramEnd"/>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b/>
          <w:bCs/>
          <w:sz w:val="24"/>
          <w:szCs w:val="24"/>
        </w:rPr>
        <w:t>Предоставление субсидий гражданам, нуждающимся в улучшении жилищных условий</w:t>
      </w: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917EC2" w:rsidP="00887D81">
      <w:pPr>
        <w:spacing w:after="0" w:line="240" w:lineRule="auto"/>
        <w:ind w:firstLine="709"/>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020855" cy="2380420"/>
            <wp:effectExtent l="11097" t="4640" r="4868" b="0"/>
            <wp:docPr id="19" name="Рисунок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xml:space="preserve">В сводном реестре претендентов на получение субсидии из числа иных категорий граждан (ветеранов боевых действий, членов семей погибших (умерших) ветеранов боевых действий, инвалидов, семей с детьми-инвалидами) насчитывается  5410 человек. В течение 2006-2012 гг. из федерального бюджета на улучшение жилищных условий  указанных категорий ветеранов, инвалидов, семей с детьми-инвалидами республике было выделено 745,326 млн. рублей.  За период 2006-2012 гг. из этого числа улучшили жилищные условия 1411 человек, в том числе в 2012 году – 325 человек. </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В 2012 году вступили в силу ряд нормативных правовых актов Российской Федерации и Республики Татарстан, предусматривающих дополнительные меры социальной поддержки отдельным категориям граждан. Среди них Федеральный закон от 7 ноября 2011г. № 306—ФЗ «О денежном довольствии военнослужащих и предоставлении им отдельных выплат», предусматривающий назначение ежемесячной денежной компенсации в возмещение вреда, причиненного здоровью, военнослужащим или гражданам, призванным на военные сборы, ставшими инвалидами вследствие военной травмы, членам семей погибших военнослужащих. В декабре количество получателей указанной выплаты составило 3094 человек.</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В рамках постановления Кабинета Министров Республики Татарстан от 7 марта 2012 №188 «О дополнительной ежемесячной денежной выплате детям – инвалидам, нуждающимся в постоянном постороннем уходе (помощи, надзоре)»   ежемесячную денежную выплату  в декабре получали 642 ребенка – инвалида.</w:t>
      </w:r>
    </w:p>
    <w:p w:rsidR="008F17A2" w:rsidRPr="00887D81" w:rsidRDefault="008F17A2" w:rsidP="00887D81">
      <w:pPr>
        <w:spacing w:after="0" w:line="240" w:lineRule="auto"/>
        <w:ind w:firstLine="709"/>
        <w:jc w:val="both"/>
        <w:rPr>
          <w:rFonts w:ascii="Times New Roman" w:hAnsi="Times New Roman"/>
          <w:b/>
          <w:bCs/>
          <w:sz w:val="24"/>
          <w:szCs w:val="24"/>
        </w:rPr>
      </w:pPr>
    </w:p>
    <w:p w:rsidR="008F17A2" w:rsidRPr="00887D81" w:rsidRDefault="008F17A2" w:rsidP="00887D81">
      <w:pPr>
        <w:spacing w:after="0" w:line="240" w:lineRule="auto"/>
        <w:ind w:firstLine="709"/>
        <w:jc w:val="both"/>
        <w:rPr>
          <w:rFonts w:ascii="Times New Roman" w:hAnsi="Times New Roman"/>
          <w:b/>
          <w:sz w:val="24"/>
          <w:szCs w:val="24"/>
        </w:rPr>
      </w:pPr>
      <w:r w:rsidRPr="00887D81">
        <w:rPr>
          <w:rFonts w:ascii="Times New Roman" w:hAnsi="Times New Roman"/>
          <w:b/>
          <w:sz w:val="24"/>
          <w:szCs w:val="24"/>
        </w:rPr>
        <w:t xml:space="preserve">Обеспечение граждан техническими средствами </w:t>
      </w:r>
    </w:p>
    <w:p w:rsidR="008F17A2" w:rsidRPr="00887D81" w:rsidRDefault="008F17A2" w:rsidP="00887D81">
      <w:pPr>
        <w:spacing w:after="0" w:line="240" w:lineRule="auto"/>
        <w:ind w:firstLine="709"/>
        <w:jc w:val="both"/>
        <w:rPr>
          <w:rFonts w:ascii="Times New Roman" w:hAnsi="Times New Roman"/>
          <w:b/>
          <w:sz w:val="24"/>
          <w:szCs w:val="24"/>
        </w:rPr>
      </w:pPr>
      <w:r w:rsidRPr="00887D81">
        <w:rPr>
          <w:rFonts w:ascii="Times New Roman" w:hAnsi="Times New Roman"/>
          <w:b/>
          <w:sz w:val="24"/>
          <w:szCs w:val="24"/>
        </w:rPr>
        <w:t>реабилитации и санаторно-курортными путевками</w:t>
      </w:r>
    </w:p>
    <w:p w:rsidR="008F17A2" w:rsidRPr="00887D81" w:rsidRDefault="008F17A2" w:rsidP="00887D81">
      <w:pPr>
        <w:spacing w:after="0" w:line="240" w:lineRule="auto"/>
        <w:ind w:firstLine="709"/>
        <w:jc w:val="both"/>
        <w:rPr>
          <w:rFonts w:ascii="Times New Roman" w:hAnsi="Times New Roman"/>
          <w:b/>
          <w:sz w:val="24"/>
          <w:szCs w:val="24"/>
        </w:rPr>
      </w:pPr>
      <w:r w:rsidRPr="00887D81">
        <w:rPr>
          <w:rFonts w:ascii="Times New Roman" w:hAnsi="Times New Roman"/>
          <w:b/>
          <w:sz w:val="24"/>
          <w:szCs w:val="24"/>
        </w:rPr>
        <w:t> </w:t>
      </w:r>
    </w:p>
    <w:p w:rsidR="008F17A2" w:rsidRPr="00887D81" w:rsidRDefault="008F17A2" w:rsidP="00887D81">
      <w:pPr>
        <w:spacing w:after="0" w:line="240" w:lineRule="auto"/>
        <w:ind w:firstLine="709"/>
        <w:jc w:val="both"/>
        <w:rPr>
          <w:rFonts w:ascii="Times New Roman" w:hAnsi="Times New Roman"/>
          <w:sz w:val="24"/>
          <w:szCs w:val="24"/>
        </w:rPr>
      </w:pPr>
      <w:proofErr w:type="gramStart"/>
      <w:r w:rsidRPr="00887D81">
        <w:rPr>
          <w:rFonts w:ascii="Times New Roman" w:hAnsi="Times New Roman"/>
          <w:sz w:val="24"/>
          <w:szCs w:val="24"/>
        </w:rPr>
        <w:t xml:space="preserve">С 1 января 2011года Министерством труда, занятости и социальной защиты Республики Татарстан осуществляется часть полномочий Российской Федерации по предоставлению мер социальной поддержки инвалидам и отдельным категориям граждан из числа ветеранов, а также по оказанию государственной социальной помощи в виде социальных услуг по предоставлению путевок на санаторно-курортное лечение и бесплатного  проезда на междугородном транспорте к месту лечения и обратно.     </w:t>
      </w:r>
      <w:proofErr w:type="gramEnd"/>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b/>
          <w:bCs/>
          <w:sz w:val="24"/>
          <w:szCs w:val="24"/>
        </w:rPr>
      </w:pPr>
      <w:r w:rsidRPr="00887D81">
        <w:rPr>
          <w:rFonts w:ascii="Times New Roman" w:hAnsi="Times New Roman"/>
          <w:b/>
          <w:bCs/>
          <w:sz w:val="24"/>
          <w:szCs w:val="24"/>
        </w:rPr>
        <w:t>Численность инвалидов, обеспеченных техническими средствами реабилитации и протезно-ортопедических изделий в 2011-2012г.</w:t>
      </w: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917EC2" w:rsidP="00887D81">
      <w:pPr>
        <w:spacing w:after="0" w:line="240" w:lineRule="auto"/>
        <w:ind w:firstLine="709"/>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692140" cy="2118360"/>
            <wp:effectExtent l="0" t="0" r="0"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xml:space="preserve"> </w:t>
      </w: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xml:space="preserve">В 2012 году на предоставление инвалидам технических средств реабилитации и отдельным категориям граждан из числа ветеранов протезами (кроме зубных протезов), протезно-ортопедическими изделиями из федерального бюджета было выделено 520 миллионов рублей, которые позволили заключить 177 государственных контрактов и своевременно обеспечить техническими средствами реабилитации и протезно-ортопедическими изделиями 56913 граждан.  </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xml:space="preserve">В целях </w:t>
      </w:r>
      <w:proofErr w:type="gramStart"/>
      <w:r w:rsidRPr="00887D81">
        <w:rPr>
          <w:rFonts w:ascii="Times New Roman" w:hAnsi="Times New Roman"/>
          <w:sz w:val="24"/>
          <w:szCs w:val="24"/>
        </w:rPr>
        <w:t>повышения эффективности системы предоставления технических средств реабилитации</w:t>
      </w:r>
      <w:proofErr w:type="gramEnd"/>
      <w:r w:rsidRPr="00887D81">
        <w:rPr>
          <w:rFonts w:ascii="Times New Roman" w:hAnsi="Times New Roman"/>
          <w:sz w:val="24"/>
          <w:szCs w:val="24"/>
        </w:rPr>
        <w:t xml:space="preserve"> в 2012 году:</w:t>
      </w:r>
    </w:p>
    <w:p w:rsidR="008F17A2" w:rsidRPr="00887D81" w:rsidRDefault="008F17A2" w:rsidP="00887D81">
      <w:pPr>
        <w:spacing w:after="0" w:line="240" w:lineRule="auto"/>
        <w:ind w:firstLine="709"/>
        <w:jc w:val="both"/>
        <w:rPr>
          <w:rFonts w:ascii="Times New Roman" w:hAnsi="Times New Roman"/>
          <w:bCs/>
          <w:sz w:val="24"/>
          <w:szCs w:val="24"/>
        </w:rPr>
      </w:pPr>
      <w:r w:rsidRPr="00887D81">
        <w:rPr>
          <w:rFonts w:ascii="Times New Roman" w:hAnsi="Times New Roman"/>
          <w:sz w:val="24"/>
          <w:szCs w:val="24"/>
        </w:rPr>
        <w:t>-отработан механизм совместной работы с ФКУ «Главное бюро медико-социальной экспертизы по Республике Татарстан» по вопросам приема заявлений на обеспечение техническими средствами реабилитации и протезно-ортопедическими изделиями в его филиалах при выдаче индивидуальных программ реабилитации;  по электронной выгрузке  индивидуальных программ реабилитации</w:t>
      </w:r>
      <w:r w:rsidRPr="00887D81">
        <w:rPr>
          <w:rFonts w:ascii="Times New Roman" w:hAnsi="Times New Roman"/>
          <w:bCs/>
          <w:sz w:val="24"/>
          <w:szCs w:val="24"/>
        </w:rPr>
        <w:t>;</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xml:space="preserve">-разработан проект порядка предоставления информации об обеспечении техническими средствами реабилитации инвалидов и отдельных категорий граждан из числа ветеранов через </w:t>
      </w:r>
      <w:proofErr w:type="spellStart"/>
      <w:r w:rsidRPr="00887D81">
        <w:rPr>
          <w:rFonts w:ascii="Times New Roman" w:hAnsi="Times New Roman"/>
          <w:sz w:val="24"/>
          <w:szCs w:val="24"/>
        </w:rPr>
        <w:t>смс-оповещение</w:t>
      </w:r>
      <w:proofErr w:type="spellEnd"/>
      <w:r w:rsidRPr="00887D81">
        <w:rPr>
          <w:rFonts w:ascii="Times New Roman" w:hAnsi="Times New Roman"/>
          <w:sz w:val="24"/>
          <w:szCs w:val="24"/>
        </w:rPr>
        <w:t>, что позволит инвалиду быть в курсе происходящих изменений по его заявке, заранее быть проинформированным о сроках доставки средств реабилитации;</w:t>
      </w:r>
    </w:p>
    <w:p w:rsidR="008F17A2" w:rsidRPr="00887D81" w:rsidRDefault="008F17A2" w:rsidP="00887D81">
      <w:pPr>
        <w:spacing w:after="0" w:line="240" w:lineRule="auto"/>
        <w:ind w:firstLine="709"/>
        <w:jc w:val="both"/>
        <w:rPr>
          <w:rFonts w:ascii="Times New Roman" w:hAnsi="Times New Roman"/>
          <w:sz w:val="24"/>
          <w:szCs w:val="24"/>
        </w:rPr>
      </w:pPr>
      <w:proofErr w:type="gramStart"/>
      <w:r w:rsidRPr="00887D81">
        <w:rPr>
          <w:rFonts w:ascii="Times New Roman" w:hAnsi="Times New Roman"/>
          <w:sz w:val="24"/>
          <w:szCs w:val="24"/>
        </w:rPr>
        <w:t xml:space="preserve">- в целях повышения эффективности взаимодействия между заказчиком, поставщиком и получателем технических средств реабилитации проводился систематический мониторинг соответствия количества и качества предоставляемых услуг в соответствии с потребностями инвалидов, уровня достигнутых результатов, что позволило  снизить количество письменных обращений граждан по вопросам обеспечения техническими средствами  реабилитации в 2012 году по сравнению с 2011 годом с 667 до 399. </w:t>
      </w:r>
      <w:proofErr w:type="gramEnd"/>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b/>
          <w:sz w:val="24"/>
          <w:szCs w:val="24"/>
        </w:rPr>
      </w:pPr>
      <w:r w:rsidRPr="00887D81">
        <w:rPr>
          <w:rFonts w:ascii="Times New Roman" w:hAnsi="Times New Roman"/>
          <w:b/>
          <w:sz w:val="24"/>
          <w:szCs w:val="24"/>
        </w:rPr>
        <w:t>Тематика письменных обращений граждан в 2012 году по вопросам обеспечения техническими средствами реабилитации и санаторно-курортными путевками</w:t>
      </w:r>
    </w:p>
    <w:p w:rsidR="008F17A2" w:rsidRPr="00887D81" w:rsidRDefault="008F17A2" w:rsidP="00887D81">
      <w:pPr>
        <w:spacing w:after="0" w:line="240" w:lineRule="auto"/>
        <w:ind w:firstLine="709"/>
        <w:jc w:val="both"/>
        <w:rPr>
          <w:rFonts w:ascii="Times New Roman" w:hAnsi="Times New Roman"/>
          <w:b/>
          <w:sz w:val="24"/>
          <w:szCs w:val="24"/>
        </w:rPr>
      </w:pPr>
      <w:r w:rsidRPr="00887D81">
        <w:rPr>
          <w:rFonts w:ascii="Times New Roman" w:hAnsi="Times New Roman"/>
          <w:b/>
          <w:sz w:val="24"/>
          <w:szCs w:val="24"/>
        </w:rPr>
        <w:tab/>
      </w: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917EC2" w:rsidP="00887D81">
      <w:pPr>
        <w:spacing w:after="0" w:line="240" w:lineRule="auto"/>
        <w:ind w:firstLine="709"/>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907280" cy="3368040"/>
            <wp:effectExtent l="0" t="0" r="0" b="0"/>
            <wp:docPr id="21"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F17A2" w:rsidRPr="00887D81" w:rsidRDefault="008F17A2" w:rsidP="00887D81">
      <w:pPr>
        <w:spacing w:after="0" w:line="240" w:lineRule="auto"/>
        <w:ind w:firstLine="709"/>
        <w:jc w:val="both"/>
        <w:rPr>
          <w:rFonts w:ascii="Times New Roman" w:hAnsi="Times New Roman"/>
          <w:sz w:val="24"/>
          <w:szCs w:val="24"/>
        </w:rPr>
      </w:pPr>
    </w:p>
    <w:p w:rsidR="008F17A2" w:rsidRPr="00887D81" w:rsidRDefault="008F17A2" w:rsidP="00887D81">
      <w:pPr>
        <w:spacing w:after="0" w:line="240" w:lineRule="auto"/>
        <w:ind w:firstLine="709"/>
        <w:jc w:val="both"/>
        <w:rPr>
          <w:rFonts w:ascii="Times New Roman" w:hAnsi="Times New Roman"/>
          <w:sz w:val="24"/>
          <w:szCs w:val="24"/>
        </w:rPr>
      </w:pPr>
      <w:proofErr w:type="gramStart"/>
      <w:r w:rsidRPr="00887D81">
        <w:rPr>
          <w:rFonts w:ascii="Times New Roman" w:hAnsi="Times New Roman"/>
          <w:sz w:val="24"/>
          <w:szCs w:val="24"/>
        </w:rPr>
        <w:t>В рамках осуществления части федеральных полномочий по оказанию государственной социальной помощи в виде социальных услуг по предоставлению при наличии медицинских показаний путевок на санаторно-курортное лечение в 2012 году на выделенные 134 452,6 рублей (с учетом на проезд к месту лечения и обратно) всего приобретено 7763 путевки (из них 6953 -взрослым и 810 - детям-инвалидам) в 27 санаторных учреждений, осуществляющих оздоровительные мероприятия</w:t>
      </w:r>
      <w:proofErr w:type="gramEnd"/>
      <w:r w:rsidRPr="00887D81">
        <w:rPr>
          <w:rFonts w:ascii="Times New Roman" w:hAnsi="Times New Roman"/>
          <w:sz w:val="24"/>
          <w:szCs w:val="24"/>
        </w:rPr>
        <w:t xml:space="preserve"> по различным нозологиям.</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 xml:space="preserve">В соответствии с постановлением Кабинета Министров Республики Татарстан  от 16 апреля 2004 года № 184 «Об утверждении </w:t>
      </w:r>
      <w:proofErr w:type="gramStart"/>
      <w:r w:rsidRPr="00887D81">
        <w:rPr>
          <w:rFonts w:ascii="Times New Roman" w:hAnsi="Times New Roman"/>
          <w:sz w:val="24"/>
          <w:szCs w:val="24"/>
        </w:rPr>
        <w:t>Порядка обеспечения работников бюджетных учреждений Республики</w:t>
      </w:r>
      <w:proofErr w:type="gramEnd"/>
      <w:r w:rsidRPr="00887D81">
        <w:rPr>
          <w:rFonts w:ascii="Times New Roman" w:hAnsi="Times New Roman"/>
          <w:sz w:val="24"/>
          <w:szCs w:val="24"/>
        </w:rPr>
        <w:t xml:space="preserve"> Татарстан санаторно-курортным лечением» приобретено 4861 путевка на сумму 91 179 234,0 рублей. В целях </w:t>
      </w:r>
      <w:proofErr w:type="gramStart"/>
      <w:r w:rsidRPr="00887D81">
        <w:rPr>
          <w:rFonts w:ascii="Times New Roman" w:hAnsi="Times New Roman"/>
          <w:sz w:val="24"/>
          <w:szCs w:val="24"/>
        </w:rPr>
        <w:t>исполнения постановления Кабинета Министров Республики</w:t>
      </w:r>
      <w:proofErr w:type="gramEnd"/>
      <w:r w:rsidRPr="00887D81">
        <w:rPr>
          <w:rFonts w:ascii="Times New Roman" w:hAnsi="Times New Roman"/>
          <w:sz w:val="24"/>
          <w:szCs w:val="24"/>
        </w:rPr>
        <w:t xml:space="preserve"> Татарстан от 14 февраля 2011 года № 97 «Об утверждении Порядка обеспечения пенсионеров Республики Татарстан санаторно-курортным лечением» на сумму 29 070 018,0 рублей путевками обеспечено 1561 пенсионер.</w:t>
      </w:r>
    </w:p>
    <w:p w:rsidR="008F17A2" w:rsidRPr="00887D81" w:rsidRDefault="008F17A2" w:rsidP="00887D81">
      <w:pPr>
        <w:spacing w:after="0" w:line="240" w:lineRule="auto"/>
        <w:ind w:firstLine="709"/>
        <w:jc w:val="both"/>
        <w:rPr>
          <w:rFonts w:ascii="Times New Roman" w:hAnsi="Times New Roman"/>
          <w:sz w:val="24"/>
          <w:szCs w:val="24"/>
        </w:rPr>
      </w:pPr>
      <w:r w:rsidRPr="00887D81">
        <w:rPr>
          <w:rFonts w:ascii="Times New Roman" w:hAnsi="Times New Roman"/>
          <w:sz w:val="24"/>
          <w:szCs w:val="24"/>
        </w:rPr>
        <w:t>В рамках реализации республиканской Программы отдыха, оздоровления и занятости детей и молодежи путевками в оздоровительные учреждения обеспечено 11009 детей из многодетных малообеспеченных семей на сумму 134 миллиона рублей.</w:t>
      </w:r>
    </w:p>
    <w:p w:rsidR="008F17A2" w:rsidRPr="00887D81" w:rsidRDefault="008F17A2" w:rsidP="00887D81">
      <w:pPr>
        <w:spacing w:after="0" w:line="240" w:lineRule="auto"/>
        <w:ind w:firstLine="709"/>
        <w:jc w:val="both"/>
        <w:rPr>
          <w:rFonts w:ascii="Times New Roman" w:hAnsi="Times New Roman"/>
          <w:b/>
          <w:sz w:val="24"/>
          <w:szCs w:val="24"/>
        </w:rPr>
      </w:pPr>
    </w:p>
    <w:p w:rsidR="008F17A2" w:rsidRPr="00887D81" w:rsidRDefault="008F17A2" w:rsidP="00887D81">
      <w:pPr>
        <w:spacing w:after="0" w:line="240" w:lineRule="auto"/>
        <w:ind w:firstLine="709"/>
        <w:jc w:val="both"/>
        <w:rPr>
          <w:rFonts w:ascii="Times New Roman" w:hAnsi="Times New Roman"/>
          <w:bCs/>
          <w:iCs/>
          <w:sz w:val="24"/>
          <w:szCs w:val="24"/>
        </w:rPr>
      </w:pPr>
    </w:p>
    <w:p w:rsidR="008F17A2" w:rsidRPr="00887D81" w:rsidRDefault="008F17A2" w:rsidP="00887D81">
      <w:pPr>
        <w:spacing w:after="0" w:line="240" w:lineRule="auto"/>
        <w:ind w:firstLine="709"/>
        <w:jc w:val="both"/>
        <w:rPr>
          <w:rFonts w:ascii="Times New Roman" w:hAnsi="Times New Roman"/>
          <w:bCs/>
          <w:iCs/>
          <w:sz w:val="24"/>
          <w:szCs w:val="24"/>
        </w:rPr>
      </w:pPr>
    </w:p>
    <w:p w:rsidR="008F17A2" w:rsidRDefault="008F17A2" w:rsidP="00A24D29">
      <w:pPr>
        <w:spacing w:after="0" w:line="240" w:lineRule="auto"/>
        <w:ind w:firstLine="709"/>
        <w:jc w:val="both"/>
        <w:rPr>
          <w:rFonts w:ascii="Times New Roman" w:hAnsi="Times New Roman"/>
          <w:sz w:val="24"/>
          <w:szCs w:val="24"/>
        </w:rPr>
      </w:pPr>
    </w:p>
    <w:sectPr w:rsidR="008F17A2" w:rsidSect="003205B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Georgia">
    <w:altName w:val="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CD4B68"/>
    <w:multiLevelType w:val="hybridMultilevel"/>
    <w:tmpl w:val="D28005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478A395C"/>
    <w:multiLevelType w:val="multilevel"/>
    <w:tmpl w:val="1C6E02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840"/>
        </w:tabs>
        <w:ind w:left="552" w:hanging="432"/>
      </w:pPr>
      <w:rPr>
        <w:rFonts w:cs="Times New Roman" w:hint="default"/>
      </w:rPr>
    </w:lvl>
    <w:lvl w:ilvl="2">
      <w:start w:val="1"/>
      <w:numFmt w:val="decimal"/>
      <w:pStyle w:val="a"/>
      <w:lvlText w:val="%1.%2.%3."/>
      <w:lvlJc w:val="left"/>
      <w:pPr>
        <w:tabs>
          <w:tab w:val="num" w:pos="1200"/>
        </w:tabs>
        <w:ind w:left="624" w:hanging="504"/>
      </w:pPr>
      <w:rPr>
        <w:rFonts w:cs="Times New Roman" w:hint="default"/>
        <w:i w:val="0"/>
        <w:color w:val="auto"/>
      </w:rPr>
    </w:lvl>
    <w:lvl w:ilvl="3">
      <w:start w:val="1"/>
      <w:numFmt w:val="decimal"/>
      <w:pStyle w:val="a0"/>
      <w:lvlText w:val="%1.%2.%3.%4."/>
      <w:lvlJc w:val="left"/>
      <w:pPr>
        <w:tabs>
          <w:tab w:val="num" w:pos="2520"/>
        </w:tabs>
        <w:ind w:left="1728" w:hanging="648"/>
      </w:pPr>
      <w:rPr>
        <w:rFonts w:cs="Times New Roman" w:hint="default"/>
      </w:rPr>
    </w:lvl>
    <w:lvl w:ilvl="4">
      <w:start w:val="1"/>
      <w:numFmt w:val="bullet"/>
      <w:lvlText w:val="-"/>
      <w:lvlJc w:val="left"/>
      <w:pPr>
        <w:tabs>
          <w:tab w:val="num" w:pos="2232"/>
        </w:tabs>
        <w:ind w:left="2232" w:hanging="792"/>
      </w:pPr>
      <w:rPr>
        <w:rFonts w:ascii="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
    <w:nsid w:val="5EBF12D3"/>
    <w:multiLevelType w:val="hybridMultilevel"/>
    <w:tmpl w:val="AAC48D4C"/>
    <w:lvl w:ilvl="0" w:tplc="BA1C50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833FF"/>
    <w:rsid w:val="000418CC"/>
    <w:rsid w:val="000A0707"/>
    <w:rsid w:val="001045FE"/>
    <w:rsid w:val="00130ABF"/>
    <w:rsid w:val="001A299E"/>
    <w:rsid w:val="001C59C7"/>
    <w:rsid w:val="001E5F94"/>
    <w:rsid w:val="00237ED6"/>
    <w:rsid w:val="002405E3"/>
    <w:rsid w:val="00260AD3"/>
    <w:rsid w:val="00267563"/>
    <w:rsid w:val="00286000"/>
    <w:rsid w:val="00287A71"/>
    <w:rsid w:val="003205BC"/>
    <w:rsid w:val="00342361"/>
    <w:rsid w:val="0035539B"/>
    <w:rsid w:val="003872E2"/>
    <w:rsid w:val="003B0E00"/>
    <w:rsid w:val="00496810"/>
    <w:rsid w:val="004D18C9"/>
    <w:rsid w:val="005C4482"/>
    <w:rsid w:val="00611813"/>
    <w:rsid w:val="006635CC"/>
    <w:rsid w:val="006907C8"/>
    <w:rsid w:val="00697D01"/>
    <w:rsid w:val="006F4EB6"/>
    <w:rsid w:val="00710B85"/>
    <w:rsid w:val="00803CF8"/>
    <w:rsid w:val="00887D81"/>
    <w:rsid w:val="008C367A"/>
    <w:rsid w:val="008E64EF"/>
    <w:rsid w:val="008F17A2"/>
    <w:rsid w:val="00917EC2"/>
    <w:rsid w:val="0092714C"/>
    <w:rsid w:val="00944B7B"/>
    <w:rsid w:val="00964D42"/>
    <w:rsid w:val="00972D7D"/>
    <w:rsid w:val="009A2F8A"/>
    <w:rsid w:val="009E14E5"/>
    <w:rsid w:val="009F50BB"/>
    <w:rsid w:val="00A24D29"/>
    <w:rsid w:val="00AB21BA"/>
    <w:rsid w:val="00AD7A06"/>
    <w:rsid w:val="00AF4E88"/>
    <w:rsid w:val="00B369A2"/>
    <w:rsid w:val="00D833FF"/>
    <w:rsid w:val="00E25EF6"/>
    <w:rsid w:val="00E7095F"/>
    <w:rsid w:val="00E97B7C"/>
    <w:rsid w:val="00EA6CE2"/>
    <w:rsid w:val="00ED68AB"/>
    <w:rsid w:val="00F73AE3"/>
    <w:rsid w:val="00FB01AC"/>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205BC"/>
    <w:pPr>
      <w:spacing w:after="200" w:line="276" w:lineRule="auto"/>
    </w:pPr>
  </w:style>
  <w:style w:type="paragraph" w:styleId="1">
    <w:name w:val="heading 1"/>
    <w:basedOn w:val="a1"/>
    <w:link w:val="10"/>
    <w:uiPriority w:val="99"/>
    <w:qFormat/>
    <w:rsid w:val="006635CC"/>
    <w:pPr>
      <w:spacing w:after="240" w:line="240" w:lineRule="auto"/>
      <w:outlineLvl w:val="0"/>
    </w:pPr>
    <w:rPr>
      <w:rFonts w:ascii="Times New Roman" w:hAnsi="Times New Roman"/>
      <w:b/>
      <w:bCs/>
      <w:color w:val="282828"/>
      <w:kern w:val="36"/>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locked/>
    <w:rsid w:val="006635CC"/>
    <w:rPr>
      <w:rFonts w:ascii="Times New Roman" w:hAnsi="Times New Roman" w:cs="Times New Roman"/>
      <w:b/>
      <w:bCs/>
      <w:color w:val="282828"/>
      <w:kern w:val="36"/>
      <w:sz w:val="20"/>
      <w:szCs w:val="20"/>
    </w:rPr>
  </w:style>
  <w:style w:type="paragraph" w:customStyle="1" w:styleId="Default">
    <w:name w:val="Default"/>
    <w:uiPriority w:val="99"/>
    <w:rsid w:val="006907C8"/>
    <w:pPr>
      <w:autoSpaceDE w:val="0"/>
      <w:autoSpaceDN w:val="0"/>
      <w:adjustRightInd w:val="0"/>
    </w:pPr>
    <w:rPr>
      <w:rFonts w:ascii="Georgia" w:hAnsi="Georgia" w:cs="Georgia"/>
      <w:color w:val="000000"/>
      <w:sz w:val="24"/>
      <w:szCs w:val="24"/>
    </w:rPr>
  </w:style>
  <w:style w:type="table" w:styleId="a5">
    <w:name w:val="Table Grid"/>
    <w:basedOn w:val="a3"/>
    <w:uiPriority w:val="99"/>
    <w:rsid w:val="006635C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ody Text Indent"/>
    <w:basedOn w:val="a1"/>
    <w:link w:val="a7"/>
    <w:uiPriority w:val="99"/>
    <w:rsid w:val="006635CC"/>
    <w:pPr>
      <w:spacing w:after="120" w:line="240" w:lineRule="auto"/>
      <w:ind w:left="283"/>
    </w:pPr>
    <w:rPr>
      <w:rFonts w:ascii="Times New Roman" w:hAnsi="Times New Roman"/>
      <w:sz w:val="24"/>
      <w:szCs w:val="24"/>
    </w:rPr>
  </w:style>
  <w:style w:type="character" w:customStyle="1" w:styleId="a7">
    <w:name w:val="Основной текст с отступом Знак"/>
    <w:basedOn w:val="a2"/>
    <w:link w:val="a6"/>
    <w:uiPriority w:val="99"/>
    <w:locked/>
    <w:rsid w:val="006635CC"/>
    <w:rPr>
      <w:rFonts w:ascii="Times New Roman" w:hAnsi="Times New Roman" w:cs="Times New Roman"/>
      <w:sz w:val="24"/>
      <w:szCs w:val="24"/>
    </w:rPr>
  </w:style>
  <w:style w:type="paragraph" w:customStyle="1" w:styleId="a">
    <w:name w:val="Пункт"/>
    <w:basedOn w:val="a1"/>
    <w:uiPriority w:val="99"/>
    <w:rsid w:val="006635CC"/>
    <w:pPr>
      <w:numPr>
        <w:ilvl w:val="2"/>
        <w:numId w:val="1"/>
      </w:numPr>
      <w:spacing w:after="0" w:line="240" w:lineRule="auto"/>
      <w:jc w:val="both"/>
    </w:pPr>
    <w:rPr>
      <w:rFonts w:ascii="Times New Roman" w:hAnsi="Times New Roman"/>
      <w:sz w:val="24"/>
      <w:szCs w:val="28"/>
    </w:rPr>
  </w:style>
  <w:style w:type="paragraph" w:customStyle="1" w:styleId="a0">
    <w:name w:val="Подпункт"/>
    <w:basedOn w:val="a"/>
    <w:uiPriority w:val="99"/>
    <w:rsid w:val="006635CC"/>
    <w:pPr>
      <w:numPr>
        <w:ilvl w:val="3"/>
      </w:numPr>
    </w:pPr>
  </w:style>
  <w:style w:type="paragraph" w:styleId="a8">
    <w:name w:val="Normal (Web)"/>
    <w:basedOn w:val="a1"/>
    <w:uiPriority w:val="99"/>
    <w:rsid w:val="006635CC"/>
    <w:pPr>
      <w:spacing w:before="100" w:beforeAutospacing="1" w:after="100" w:afterAutospacing="1" w:line="240" w:lineRule="auto"/>
    </w:pPr>
    <w:rPr>
      <w:rFonts w:ascii="Times New Roman" w:hAnsi="Times New Roman"/>
      <w:sz w:val="24"/>
      <w:szCs w:val="24"/>
    </w:rPr>
  </w:style>
  <w:style w:type="character" w:styleId="a9">
    <w:name w:val="Strong"/>
    <w:basedOn w:val="a2"/>
    <w:uiPriority w:val="99"/>
    <w:qFormat/>
    <w:rsid w:val="006635CC"/>
    <w:rPr>
      <w:rFonts w:cs="Times New Roman"/>
      <w:b/>
      <w:bCs/>
    </w:rPr>
  </w:style>
  <w:style w:type="paragraph" w:styleId="aa">
    <w:name w:val="List Paragraph"/>
    <w:basedOn w:val="a1"/>
    <w:uiPriority w:val="99"/>
    <w:qFormat/>
    <w:rsid w:val="000418CC"/>
    <w:pPr>
      <w:ind w:left="720"/>
      <w:contextualSpacing/>
    </w:pPr>
  </w:style>
  <w:style w:type="paragraph" w:styleId="ab">
    <w:name w:val="Body Text"/>
    <w:basedOn w:val="a1"/>
    <w:link w:val="ac"/>
    <w:uiPriority w:val="99"/>
    <w:rsid w:val="00611813"/>
    <w:pPr>
      <w:spacing w:after="120"/>
    </w:pPr>
  </w:style>
  <w:style w:type="character" w:customStyle="1" w:styleId="ac">
    <w:name w:val="Основной текст Знак"/>
    <w:basedOn w:val="a2"/>
    <w:link w:val="ab"/>
    <w:uiPriority w:val="99"/>
    <w:semiHidden/>
    <w:locked/>
    <w:rsid w:val="008C367A"/>
    <w:rPr>
      <w:rFonts w:cs="Times New Roman"/>
    </w:rPr>
  </w:style>
  <w:style w:type="paragraph" w:customStyle="1" w:styleId="11">
    <w:name w:val="Без интервала1"/>
    <w:uiPriority w:val="99"/>
    <w:rsid w:val="00611813"/>
  </w:style>
  <w:style w:type="paragraph" w:styleId="2">
    <w:name w:val="Body Text 2"/>
    <w:basedOn w:val="a1"/>
    <w:link w:val="20"/>
    <w:uiPriority w:val="99"/>
    <w:rsid w:val="00A24D29"/>
    <w:pPr>
      <w:spacing w:after="120" w:line="480" w:lineRule="auto"/>
    </w:pPr>
  </w:style>
  <w:style w:type="character" w:customStyle="1" w:styleId="20">
    <w:name w:val="Основной текст 2 Знак"/>
    <w:basedOn w:val="a2"/>
    <w:link w:val="2"/>
    <w:uiPriority w:val="99"/>
    <w:semiHidden/>
    <w:rsid w:val="008A246E"/>
  </w:style>
  <w:style w:type="paragraph" w:styleId="ad">
    <w:name w:val="Title"/>
    <w:basedOn w:val="a1"/>
    <w:link w:val="ae"/>
    <w:uiPriority w:val="99"/>
    <w:qFormat/>
    <w:locked/>
    <w:rsid w:val="00A24D29"/>
    <w:pPr>
      <w:tabs>
        <w:tab w:val="left" w:pos="-900"/>
      </w:tabs>
      <w:suppressAutoHyphens/>
      <w:spacing w:after="0" w:line="240" w:lineRule="auto"/>
      <w:jc w:val="center"/>
    </w:pPr>
    <w:rPr>
      <w:rFonts w:ascii="Times New Roman" w:hAnsi="Times New Roman"/>
      <w:b/>
      <w:sz w:val="28"/>
      <w:szCs w:val="28"/>
      <w:lang w:eastAsia="ar-SA"/>
    </w:rPr>
  </w:style>
  <w:style w:type="character" w:customStyle="1" w:styleId="ae">
    <w:name w:val="Название Знак"/>
    <w:basedOn w:val="a2"/>
    <w:link w:val="ad"/>
    <w:uiPriority w:val="99"/>
    <w:locked/>
    <w:rsid w:val="00A24D29"/>
    <w:rPr>
      <w:rFonts w:eastAsia="Times New Roman" w:cs="Times New Roman"/>
      <w:b/>
      <w:sz w:val="28"/>
      <w:szCs w:val="28"/>
      <w:lang w:val="ru-RU" w:eastAsia="ar-SA" w:bidi="ar-SA"/>
    </w:rPr>
  </w:style>
  <w:style w:type="paragraph" w:styleId="af">
    <w:name w:val="Plain Text"/>
    <w:basedOn w:val="a1"/>
    <w:link w:val="af0"/>
    <w:uiPriority w:val="99"/>
    <w:rsid w:val="00A24D29"/>
    <w:pPr>
      <w:spacing w:after="0" w:line="240" w:lineRule="auto"/>
    </w:pPr>
    <w:rPr>
      <w:rFonts w:ascii="Consolas" w:hAnsi="Consolas"/>
      <w:sz w:val="21"/>
      <w:szCs w:val="21"/>
      <w:lang w:eastAsia="en-US"/>
    </w:rPr>
  </w:style>
  <w:style w:type="character" w:customStyle="1" w:styleId="af0">
    <w:name w:val="Текст Знак"/>
    <w:basedOn w:val="a2"/>
    <w:link w:val="af"/>
    <w:uiPriority w:val="99"/>
    <w:locked/>
    <w:rsid w:val="00A24D29"/>
    <w:rPr>
      <w:rFonts w:ascii="Consolas" w:hAnsi="Consolas" w:cs="Times New Roman"/>
      <w:sz w:val="21"/>
      <w:szCs w:val="21"/>
      <w:lang w:val="ru-RU" w:eastAsia="en-US" w:bidi="ar-SA"/>
    </w:rPr>
  </w:style>
  <w:style w:type="paragraph" w:customStyle="1" w:styleId="Style8">
    <w:name w:val="Style8"/>
    <w:basedOn w:val="a1"/>
    <w:uiPriority w:val="99"/>
    <w:rsid w:val="00A24D29"/>
    <w:pPr>
      <w:widowControl w:val="0"/>
      <w:autoSpaceDE w:val="0"/>
      <w:autoSpaceDN w:val="0"/>
      <w:adjustRightInd w:val="0"/>
      <w:spacing w:after="0" w:line="240" w:lineRule="auto"/>
    </w:pPr>
    <w:rPr>
      <w:rFonts w:ascii="Times New Roman" w:hAnsi="Times New Roman"/>
      <w:sz w:val="24"/>
      <w:szCs w:val="24"/>
    </w:rPr>
  </w:style>
  <w:style w:type="character" w:customStyle="1" w:styleId="4-">
    <w:name w:val="А4-Основной Знак"/>
    <w:link w:val="4-0"/>
    <w:uiPriority w:val="99"/>
    <w:locked/>
    <w:rsid w:val="00A24D29"/>
    <w:rPr>
      <w:sz w:val="28"/>
    </w:rPr>
  </w:style>
  <w:style w:type="paragraph" w:customStyle="1" w:styleId="4-0">
    <w:name w:val="А4-Основной"/>
    <w:basedOn w:val="a1"/>
    <w:link w:val="4-"/>
    <w:uiPriority w:val="99"/>
    <w:rsid w:val="00A24D29"/>
    <w:pPr>
      <w:spacing w:after="120" w:line="240" w:lineRule="auto"/>
      <w:ind w:firstLine="709"/>
      <w:jc w:val="both"/>
    </w:pPr>
    <w:rPr>
      <w:rFonts w:ascii="Times New Roman" w:hAnsi="Times New Roman"/>
      <w:noProof/>
      <w:sz w:val="28"/>
      <w:szCs w:val="20"/>
    </w:rPr>
  </w:style>
  <w:style w:type="paragraph" w:styleId="3">
    <w:name w:val="Body Text Indent 3"/>
    <w:basedOn w:val="a1"/>
    <w:link w:val="30"/>
    <w:uiPriority w:val="99"/>
    <w:semiHidden/>
    <w:rsid w:val="00A24D29"/>
    <w:pPr>
      <w:spacing w:after="120" w:line="240" w:lineRule="auto"/>
      <w:ind w:left="283"/>
    </w:pPr>
    <w:rPr>
      <w:sz w:val="16"/>
      <w:szCs w:val="16"/>
      <w:lang w:eastAsia="en-US"/>
    </w:rPr>
  </w:style>
  <w:style w:type="character" w:customStyle="1" w:styleId="30">
    <w:name w:val="Основной текст с отступом 3 Знак"/>
    <w:basedOn w:val="a2"/>
    <w:link w:val="3"/>
    <w:uiPriority w:val="99"/>
    <w:semiHidden/>
    <w:locked/>
    <w:rsid w:val="00A24D29"/>
    <w:rPr>
      <w:rFonts w:ascii="Calibri" w:hAnsi="Calibri" w:cs="Times New Roman"/>
      <w:sz w:val="16"/>
      <w:szCs w:val="16"/>
      <w:lang w:val="ru-RU" w:eastAsia="en-US" w:bidi="ar-SA"/>
    </w:rPr>
  </w:style>
  <w:style w:type="paragraph" w:customStyle="1" w:styleId="BodyText216">
    <w:name w:val="Body Text 216"/>
    <w:basedOn w:val="a1"/>
    <w:uiPriority w:val="99"/>
    <w:rsid w:val="00A24D29"/>
    <w:pPr>
      <w:overflowPunct w:val="0"/>
      <w:autoSpaceDE w:val="0"/>
      <w:autoSpaceDN w:val="0"/>
      <w:adjustRightInd w:val="0"/>
      <w:spacing w:after="0" w:line="240" w:lineRule="auto"/>
      <w:ind w:firstLine="720"/>
      <w:jc w:val="both"/>
      <w:textAlignment w:val="baseline"/>
    </w:pPr>
    <w:rPr>
      <w:rFonts w:ascii="Times New Roman" w:hAnsi="Times New Roman"/>
      <w:sz w:val="24"/>
      <w:szCs w:val="20"/>
    </w:rPr>
  </w:style>
  <w:style w:type="paragraph" w:styleId="af1">
    <w:name w:val="Balloon Text"/>
    <w:basedOn w:val="a1"/>
    <w:link w:val="af2"/>
    <w:uiPriority w:val="99"/>
    <w:semiHidden/>
    <w:unhideWhenUsed/>
    <w:rsid w:val="00917EC2"/>
    <w:pPr>
      <w:spacing w:after="0" w:line="240" w:lineRule="auto"/>
    </w:pPr>
    <w:rPr>
      <w:rFonts w:ascii="Tahoma" w:hAnsi="Tahoma" w:cs="Tahoma"/>
      <w:sz w:val="16"/>
      <w:szCs w:val="16"/>
    </w:rPr>
  </w:style>
  <w:style w:type="character" w:customStyle="1" w:styleId="af2">
    <w:name w:val="Текст выноски Знак"/>
    <w:basedOn w:val="a2"/>
    <w:link w:val="af1"/>
    <w:uiPriority w:val="99"/>
    <w:semiHidden/>
    <w:rsid w:val="00917E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385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package" Target="embeddings/______Microsoft_Office_PowerPoint2.sldx"/><Relationship Id="rId18" Type="http://schemas.openxmlformats.org/officeDocument/2006/relationships/image" Target="media/image5.emf"/><Relationship Id="rId26" Type="http://schemas.openxmlformats.org/officeDocument/2006/relationships/package" Target="embeddings/______Microsoft_Office_PowerPoint8.sldx"/><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package" Target="embeddings/______Microsoft_Office_PowerPoint6.sldx"/><Relationship Id="rId34" Type="http://schemas.openxmlformats.org/officeDocument/2006/relationships/package" Target="embeddings/______Microsoft_Office_PowerPoint12.sldx"/><Relationship Id="rId7" Type="http://schemas.openxmlformats.org/officeDocument/2006/relationships/chart" Target="charts/chart3.xml"/><Relationship Id="rId12" Type="http://schemas.openxmlformats.org/officeDocument/2006/relationships/image" Target="media/image2.emf"/><Relationship Id="rId17" Type="http://schemas.openxmlformats.org/officeDocument/2006/relationships/package" Target="embeddings/______Microsoft_Office_PowerPoint4.sldx"/><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package" Target="embeddings/______Microsoft_Office_PowerPoint1.sldx"/><Relationship Id="rId24" Type="http://schemas.openxmlformats.org/officeDocument/2006/relationships/chart" Target="charts/chart6.xml"/><Relationship Id="rId32" Type="http://schemas.openxmlformats.org/officeDocument/2006/relationships/package" Target="embeddings/_____Microsoft_Office_Excel11.xlsx"/><Relationship Id="rId37" Type="http://schemas.openxmlformats.org/officeDocument/2006/relationships/chart" Target="charts/chart9.xml"/><Relationship Id="rId40" Type="http://schemas.openxmlformats.org/officeDocument/2006/relationships/theme" Target="theme/theme1.xml"/><Relationship Id="rId5" Type="http://schemas.openxmlformats.org/officeDocument/2006/relationships/chart" Target="charts/chart1.xml"/><Relationship Id="rId15" Type="http://schemas.openxmlformats.org/officeDocument/2006/relationships/package" Target="embeddings/______Microsoft_Office_PowerPoint3.sldx"/><Relationship Id="rId23" Type="http://schemas.openxmlformats.org/officeDocument/2006/relationships/package" Target="embeddings/______Microsoft_Office_PowerPoint7.sldx"/><Relationship Id="rId28" Type="http://schemas.openxmlformats.org/officeDocument/2006/relationships/package" Target="embeddings/______Microsoft_Office_PowerPoint9.sldx"/><Relationship Id="rId36" Type="http://schemas.openxmlformats.org/officeDocument/2006/relationships/chart" Target="charts/chart8.xml"/><Relationship Id="rId10" Type="http://schemas.openxmlformats.org/officeDocument/2006/relationships/image" Target="media/image1.emf"/><Relationship Id="rId19" Type="http://schemas.openxmlformats.org/officeDocument/2006/relationships/package" Target="embeddings/______Microsoft_Office_PowerPoint5.sldx"/><Relationship Id="rId31"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package" Target="embeddings/______Microsoft_Office_PowerPoint10.sldx"/><Relationship Id="rId35"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C:\Natasha\Desktop\&#1050;&#1086;&#1083;&#1083;&#1077;&#1075;&#1080;&#1103;-2012\&#1089;&#1083;&#1072;&#1081;&#1076;&#1099;%202012.xls"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oleObject" Target="file:///C:\Natasha\Desktop\&#1050;&#1086;&#1083;&#1083;&#1077;&#1075;&#1080;&#1103;-2012\&#1089;&#1083;&#1072;&#1081;&#1076;&#1099;%20201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Natasha\Desktop\&#1050;&#1086;&#1083;&#1083;&#1077;&#1075;&#1080;&#1103;-2012\&#1089;&#1083;&#1072;&#1081;&#1076;&#1099;%20201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idenko\&#1082;&#1086;&#1083;&#1083;&#1077;&#1082;&#1090;%20&#1076;&#1086;&#1075;&#1086;&#1074;&#1086;&#1088;&#1072;\&#1090;&#1072;&#1073;&#1083;&#1080;&#1094;&#1099;%20&#1080;%20&#1076;&#1080;&#1072;&#1075;&#1088;&#1072;&#1084;&#1084;&#1099;\&#1076;&#1080;&#1072;&#1075;&#1088;&#1072;&#1084;&#1084;&#1072;%202012.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Kamalova.Landish\Documents\&#1056;&#1072;&#1073;&#1086;&#1095;&#1072;&#1103;%20&#1087;&#1072;&#1087;&#1082;&#1072;\11-07(&#1082;&#1086;&#1083;&#1083;&#1077;&#1075;&#1080;&#1080;)\&#1048;&#1090;&#1086;&#1075;&#1080;%202012\&#1057;&#1073;&#1086;&#1088;&#1085;&#1080;&#1082;\3.%20&#1057;&#1086;&#1076;&#1077;&#1081;&#1089;&#1090;&#1074;&#1080;&#1077;%20&#1079;&#1072;&#1085;&#1103;&#1090;&#1086;&#1089;&#1090;&#1080;%20&#1085;&#1072;&#1089;&#1077;&#1083;&#1077;&#1085;&#1080;&#1103;\&#1050;&#1080;&#1073;&#1072;&#1088;&#1076;&#1080;&#1085;&#1072;.xlsb" TargetMode="External"/><Relationship Id="rId1" Type="http://schemas.openxmlformats.org/officeDocument/2006/relationships/image" Target="../media/image8.jpeg"/></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ileserv\common\&#1086;&#1090;&#1076;&#1077;&#1083;%20&#1082;&#1086;&#1086;&#1088;&#1076;&#1080;&#1085;&#1072;&#1094;&#1080;&#1080;%20&#1080;%20&#1082;&#1086;&#1085;&#1090;&#1088;&#1086;&#1083;&#1103;\&#1050;&#1072;&#1084;&#1072;&#1083;&#1086;&#1074;&#1072;%20&#1051;&#1072;&#1085;&#1076;&#1099;&#1096;%20&#1040;&#1083;&#1100;&#1090;&#1072;&#1092;&#1086;&#1074;&#1085;&#1072;\&#1044;&#1080;&#1072;&#1075;&#1088;&#1072;&#1084;&#1084;&#1099;\!&#1044;&#1080;&#1085;&#1072;&#1084;&#1080;&#1082;&#1072;%20&#1087;&#1086;&#1083;&#1091;&#1095;&#1072;&#1090;%20&#1057;&#1052;&#1054;%20&#1074;%20201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malova.Landish\AppData\Local\Microsoft\Windows\Temporary%20Internet%20Files\Content.Outlook\W74DTJ42\&#1078;&#1080;&#1083;&#1100;&#1077;%20&#1050;&#1072;&#1088;&#1091;&#1085;&#1080;&#1085;&#1072;.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Среднемесячная номинальная  и реальная  заработная плата в регионах ПФО (январь-октябрь 2012г.)</a:t>
            </a:r>
          </a:p>
        </c:rich>
      </c:tx>
    </c:title>
    <c:view3D>
      <c:depthPercent val="100"/>
      <c:rAngAx val="1"/>
    </c:view3D>
    <c:plotArea>
      <c:layout/>
      <c:bar3DChart>
        <c:barDir val="col"/>
        <c:grouping val="clustered"/>
        <c:ser>
          <c:idx val="0"/>
          <c:order val="0"/>
          <c:tx>
            <c:strRef>
              <c:f>'таб-номин-реальнЛист1'!$B$3</c:f>
              <c:strCache>
                <c:ptCount val="1"/>
                <c:pt idx="0">
                  <c:v>Среднемесячная  заработная плата, рублей</c:v>
                </c:pt>
              </c:strCache>
            </c:strRef>
          </c:tx>
          <c:dLbls>
            <c:txPr>
              <a:bodyPr/>
              <a:lstStyle/>
              <a:p>
                <a:pPr>
                  <a:defRPr sz="800" baseline="0"/>
                </a:pPr>
                <a:endParaRPr lang="ru-RU"/>
              </a:p>
            </c:txPr>
            <c:showVal val="1"/>
          </c:dLbls>
          <c:cat>
            <c:strRef>
              <c:f>'таб-номин-реальнЛист1'!$A$4:$A$17</c:f>
              <c:strCache>
                <c:ptCount val="14"/>
                <c:pt idx="0">
                  <c:v>Республика Татарстан</c:v>
                </c:pt>
                <c:pt idx="1">
                  <c:v>Пермский край </c:v>
                </c:pt>
                <c:pt idx="2">
                  <c:v>Самарская область</c:v>
                </c:pt>
                <c:pt idx="3">
                  <c:v>Нижегородская область</c:v>
                </c:pt>
                <c:pt idx="4">
                  <c:v>Республика Башкортостан</c:v>
                </c:pt>
                <c:pt idx="5">
                  <c:v>Оренбургская область </c:v>
                </c:pt>
                <c:pt idx="6">
                  <c:v>Пензенская область</c:v>
                </c:pt>
                <c:pt idx="7">
                  <c:v>Саратовская область</c:v>
                </c:pt>
                <c:pt idx="8">
                  <c:v>Удмуртская Республика</c:v>
                </c:pt>
                <c:pt idx="9">
                  <c:v>Ульяновская область</c:v>
                </c:pt>
                <c:pt idx="10">
                  <c:v>Чувашская Республика</c:v>
                </c:pt>
                <c:pt idx="11">
                  <c:v>Кировская область </c:v>
                </c:pt>
                <c:pt idx="12">
                  <c:v>Республика Марий Эл</c:v>
                </c:pt>
                <c:pt idx="13">
                  <c:v>Республика Мордовия</c:v>
                </c:pt>
              </c:strCache>
            </c:strRef>
          </c:cat>
          <c:val>
            <c:numRef>
              <c:f>'таб-номин-реальнЛист1'!$B$4:$B$17</c:f>
              <c:numCache>
                <c:formatCode>General</c:formatCode>
                <c:ptCount val="14"/>
                <c:pt idx="0">
                  <c:v>22356.3</c:v>
                </c:pt>
                <c:pt idx="1">
                  <c:v>20819.8</c:v>
                </c:pt>
                <c:pt idx="2">
                  <c:v>20291</c:v>
                </c:pt>
                <c:pt idx="3">
                  <c:v>20227.900000000001</c:v>
                </c:pt>
                <c:pt idx="4">
                  <c:v>19776</c:v>
                </c:pt>
                <c:pt idx="5">
                  <c:v>18903.8</c:v>
                </c:pt>
                <c:pt idx="6">
                  <c:v>18621.3</c:v>
                </c:pt>
                <c:pt idx="7">
                  <c:v>18199.3</c:v>
                </c:pt>
                <c:pt idx="8">
                  <c:v>17877.5</c:v>
                </c:pt>
                <c:pt idx="9">
                  <c:v>16622.7</c:v>
                </c:pt>
                <c:pt idx="10">
                  <c:v>16618.099999999933</c:v>
                </c:pt>
                <c:pt idx="11">
                  <c:v>16187.3</c:v>
                </c:pt>
                <c:pt idx="12">
                  <c:v>15492.5</c:v>
                </c:pt>
                <c:pt idx="13">
                  <c:v>13949.9</c:v>
                </c:pt>
              </c:numCache>
            </c:numRef>
          </c:val>
        </c:ser>
        <c:ser>
          <c:idx val="1"/>
          <c:order val="1"/>
          <c:tx>
            <c:strRef>
              <c:f>'таб-номин-реальнЛист1'!$C$3</c:f>
              <c:strCache>
                <c:ptCount val="1"/>
                <c:pt idx="0">
                  <c:v>Реальная заработная плата,%</c:v>
                </c:pt>
              </c:strCache>
            </c:strRef>
          </c:tx>
          <c:dLbls>
            <c:txPr>
              <a:bodyPr/>
              <a:lstStyle/>
              <a:p>
                <a:pPr>
                  <a:defRPr sz="900" baseline="0"/>
                </a:pPr>
                <a:endParaRPr lang="ru-RU"/>
              </a:p>
            </c:txPr>
            <c:showVal val="1"/>
          </c:dLbls>
          <c:cat>
            <c:strRef>
              <c:f>'таб-номин-реальнЛист1'!$A$4:$A$17</c:f>
              <c:strCache>
                <c:ptCount val="14"/>
                <c:pt idx="0">
                  <c:v>Республика Татарстан</c:v>
                </c:pt>
                <c:pt idx="1">
                  <c:v>Пермский край </c:v>
                </c:pt>
                <c:pt idx="2">
                  <c:v>Самарская область</c:v>
                </c:pt>
                <c:pt idx="3">
                  <c:v>Нижегородская область</c:v>
                </c:pt>
                <c:pt idx="4">
                  <c:v>Республика Башкортостан</c:v>
                </c:pt>
                <c:pt idx="5">
                  <c:v>Оренбургская область </c:v>
                </c:pt>
                <c:pt idx="6">
                  <c:v>Пензенская область</c:v>
                </c:pt>
                <c:pt idx="7">
                  <c:v>Саратовская область</c:v>
                </c:pt>
                <c:pt idx="8">
                  <c:v>Удмуртская Республика</c:v>
                </c:pt>
                <c:pt idx="9">
                  <c:v>Ульяновская область</c:v>
                </c:pt>
                <c:pt idx="10">
                  <c:v>Чувашская Республика</c:v>
                </c:pt>
                <c:pt idx="11">
                  <c:v>Кировская область </c:v>
                </c:pt>
                <c:pt idx="12">
                  <c:v>Республика Марий Эл</c:v>
                </c:pt>
                <c:pt idx="13">
                  <c:v>Республика Мордовия</c:v>
                </c:pt>
              </c:strCache>
            </c:strRef>
          </c:cat>
          <c:val>
            <c:numRef>
              <c:f>'таб-номин-реальнЛист1'!$C$4:$C$17</c:f>
              <c:numCache>
                <c:formatCode>General</c:formatCode>
                <c:ptCount val="14"/>
                <c:pt idx="0">
                  <c:v>112.4</c:v>
                </c:pt>
                <c:pt idx="1">
                  <c:v>107.3</c:v>
                </c:pt>
                <c:pt idx="2">
                  <c:v>108.7</c:v>
                </c:pt>
                <c:pt idx="3">
                  <c:v>107.2</c:v>
                </c:pt>
                <c:pt idx="4">
                  <c:v>109.7</c:v>
                </c:pt>
                <c:pt idx="5">
                  <c:v>109.3</c:v>
                </c:pt>
                <c:pt idx="6">
                  <c:v>113.6</c:v>
                </c:pt>
                <c:pt idx="7">
                  <c:v>111.2</c:v>
                </c:pt>
                <c:pt idx="8">
                  <c:v>110.7</c:v>
                </c:pt>
                <c:pt idx="9">
                  <c:v>109.6</c:v>
                </c:pt>
                <c:pt idx="10">
                  <c:v>112.1</c:v>
                </c:pt>
                <c:pt idx="11">
                  <c:v>108.9</c:v>
                </c:pt>
                <c:pt idx="12">
                  <c:v>110.1</c:v>
                </c:pt>
                <c:pt idx="13">
                  <c:v>109.5</c:v>
                </c:pt>
              </c:numCache>
            </c:numRef>
          </c:val>
        </c:ser>
        <c:gapWidth val="75"/>
        <c:shape val="box"/>
        <c:axId val="59615488"/>
        <c:axId val="67661824"/>
        <c:axId val="0"/>
      </c:bar3DChart>
      <c:catAx>
        <c:axId val="59615488"/>
        <c:scaling>
          <c:orientation val="minMax"/>
        </c:scaling>
        <c:axPos val="b"/>
        <c:numFmt formatCode="General" sourceLinked="1"/>
        <c:majorTickMark val="none"/>
        <c:tickLblPos val="nextTo"/>
        <c:txPr>
          <a:bodyPr/>
          <a:lstStyle/>
          <a:p>
            <a:pPr>
              <a:defRPr sz="900" baseline="0"/>
            </a:pPr>
            <a:endParaRPr lang="ru-RU"/>
          </a:p>
        </c:txPr>
        <c:crossAx val="67661824"/>
        <c:crosses val="autoZero"/>
        <c:auto val="1"/>
        <c:lblAlgn val="ctr"/>
        <c:lblOffset val="100"/>
      </c:catAx>
      <c:valAx>
        <c:axId val="67661824"/>
        <c:scaling>
          <c:orientation val="minMax"/>
        </c:scaling>
        <c:axPos val="l"/>
        <c:majorGridlines/>
        <c:numFmt formatCode="General" sourceLinked="1"/>
        <c:majorTickMark val="none"/>
        <c:tickLblPos val="nextTo"/>
        <c:spPr>
          <a:ln w="9525">
            <a:noFill/>
          </a:ln>
        </c:spPr>
        <c:crossAx val="59615488"/>
        <c:crosses val="autoZero"/>
        <c:crossBetween val="between"/>
      </c:valAx>
      <c:spPr>
        <a:noFill/>
        <a:ln w="25400">
          <a:noFill/>
        </a:ln>
      </c:spPr>
    </c:plotArea>
    <c:legend>
      <c:legendPos val="b"/>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title>
      <c:tx>
        <c:rich>
          <a:bodyPr/>
          <a:lstStyle/>
          <a:p>
            <a:pPr>
              <a:defRPr/>
            </a:pPr>
            <a:endParaRPr lang="ru-RU"/>
          </a:p>
        </c:rich>
      </c:tx>
    </c:title>
    <c:view3D>
      <c:rotX val="30"/>
      <c:perspective val="30"/>
    </c:view3D>
    <c:plotArea>
      <c:layout>
        <c:manualLayout>
          <c:layoutTarget val="inner"/>
          <c:xMode val="edge"/>
          <c:yMode val="edge"/>
          <c:x val="9.6846090340884747E-2"/>
          <c:y val="0.14560665158282438"/>
          <c:w val="0.8246257401765229"/>
          <c:h val="0.75853592715680163"/>
        </c:manualLayout>
      </c:layout>
      <c:pie3DChart>
        <c:varyColors val="1"/>
        <c:ser>
          <c:idx val="0"/>
          <c:order val="0"/>
          <c:tx>
            <c:strRef>
              <c:f>Лист1!$B$1</c:f>
              <c:strCache>
                <c:ptCount val="1"/>
                <c:pt idx="0">
                  <c:v>Столбец1</c:v>
                </c:pt>
              </c:strCache>
            </c:strRef>
          </c:tx>
          <c:explosion val="51"/>
          <c:dPt>
            <c:idx val="0"/>
            <c:spPr>
              <a:solidFill>
                <a:srgbClr val="92D050"/>
              </a:solidFill>
            </c:spPr>
          </c:dPt>
          <c:dPt>
            <c:idx val="1"/>
            <c:spPr>
              <a:solidFill>
                <a:schemeClr val="accent5"/>
              </a:solidFill>
            </c:spPr>
          </c:dPt>
          <c:dPt>
            <c:idx val="2"/>
            <c:spPr>
              <a:solidFill>
                <a:srgbClr val="FFC000"/>
              </a:solidFill>
            </c:spPr>
          </c:dPt>
          <c:dPt>
            <c:idx val="3"/>
            <c:spPr>
              <a:solidFill>
                <a:srgbClr val="FF0000"/>
              </a:solidFill>
            </c:spPr>
          </c:dPt>
          <c:dPt>
            <c:idx val="4"/>
            <c:spPr>
              <a:solidFill>
                <a:srgbClr val="C00000"/>
              </a:solidFill>
            </c:spPr>
          </c:dPt>
          <c:dPt>
            <c:idx val="5"/>
            <c:spPr>
              <a:solidFill>
                <a:schemeClr val="accent1"/>
              </a:solidFill>
            </c:spPr>
          </c:dPt>
          <c:dPt>
            <c:idx val="6"/>
            <c:spPr>
              <a:solidFill>
                <a:schemeClr val="accent4">
                  <a:lumMod val="75000"/>
                </a:schemeClr>
              </a:solidFill>
            </c:spPr>
          </c:dPt>
          <c:dPt>
            <c:idx val="7"/>
            <c:spPr>
              <a:solidFill>
                <a:schemeClr val="accent6">
                  <a:lumMod val="75000"/>
                </a:schemeClr>
              </a:solidFill>
            </c:spPr>
          </c:dPt>
          <c:dLbls>
            <c:dLbl>
              <c:idx val="0"/>
              <c:layout>
                <c:manualLayout>
                  <c:x val="-1.0116684795278304E-2"/>
                  <c:y val="-0.19428482318193174"/>
                </c:manualLayout>
              </c:layout>
              <c:tx>
                <c:rich>
                  <a:bodyPr/>
                  <a:lstStyle/>
                  <a:p>
                    <a:pPr>
                      <a:defRPr>
                        <a:solidFill>
                          <a:schemeClr val="accent3">
                            <a:lumMod val="50000"/>
                          </a:schemeClr>
                        </a:solidFill>
                      </a:defRPr>
                    </a:pPr>
                    <a:r>
                      <a:rPr lang="ru-RU">
                        <a:solidFill>
                          <a:schemeClr val="accent3">
                            <a:lumMod val="50000"/>
                          </a:schemeClr>
                        </a:solidFill>
                      </a:rPr>
                      <a:t>обеспечение санаторно-курортным лечением (170 чел.)-
43%</a:t>
                    </a:r>
                  </a:p>
                </c:rich>
              </c:tx>
              <c:spPr/>
              <c:dLblPos val="bestFit"/>
            </c:dLbl>
            <c:dLbl>
              <c:idx val="1"/>
              <c:layout>
                <c:manualLayout>
                  <c:x val="0.13786182626425617"/>
                  <c:y val="-4.7065700628348507E-2"/>
                </c:manualLayout>
              </c:layout>
              <c:tx>
                <c:rich>
                  <a:bodyPr/>
                  <a:lstStyle/>
                  <a:p>
                    <a:pPr>
                      <a:defRPr>
                        <a:solidFill>
                          <a:srgbClr val="00B0F0"/>
                        </a:solidFill>
                      </a:defRPr>
                    </a:pPr>
                    <a:r>
                      <a:rPr lang="ru-RU">
                        <a:solidFill>
                          <a:srgbClr val="00B0F0"/>
                        </a:solidFill>
                      </a:rPr>
                      <a:t>обеспечение техническими средствами реабилитации (42</a:t>
                    </a:r>
                    <a:r>
                      <a:rPr lang="ru-RU" baseline="0">
                        <a:solidFill>
                          <a:srgbClr val="00B0F0"/>
                        </a:solidFill>
                      </a:rPr>
                      <a:t> чел.) -</a:t>
                    </a:r>
                    <a:r>
                      <a:rPr lang="ru-RU">
                        <a:solidFill>
                          <a:srgbClr val="00B0F0"/>
                        </a:solidFill>
                      </a:rPr>
                      <a:t>
10%</a:t>
                    </a:r>
                  </a:p>
                </c:rich>
              </c:tx>
              <c:spPr/>
              <c:dLblPos val="bestFit"/>
            </c:dLbl>
            <c:dLbl>
              <c:idx val="2"/>
              <c:layout>
                <c:manualLayout>
                  <c:x val="0.16260995034509271"/>
                  <c:y val="8.1684522314345948E-2"/>
                </c:manualLayout>
              </c:layout>
              <c:tx>
                <c:rich>
                  <a:bodyPr/>
                  <a:lstStyle/>
                  <a:p>
                    <a:pPr>
                      <a:defRPr b="1">
                        <a:solidFill>
                          <a:srgbClr val="FFC000"/>
                        </a:solidFill>
                      </a:defRPr>
                    </a:pPr>
                    <a:r>
                      <a:rPr lang="ru-RU" b="1">
                        <a:solidFill>
                          <a:srgbClr val="FFC000"/>
                        </a:solidFill>
                      </a:rPr>
                      <a:t>жалобы (12 чел.) -
3%</a:t>
                    </a:r>
                  </a:p>
                </c:rich>
              </c:tx>
              <c:spPr/>
              <c:dLblPos val="bestFit"/>
            </c:dLbl>
            <c:dLbl>
              <c:idx val="3"/>
              <c:layout>
                <c:manualLayout>
                  <c:x val="4.4856008701733584E-2"/>
                  <c:y val="0.19329332348494691"/>
                </c:manualLayout>
              </c:layout>
              <c:tx>
                <c:rich>
                  <a:bodyPr/>
                  <a:lstStyle/>
                  <a:p>
                    <a:pPr>
                      <a:defRPr>
                        <a:solidFill>
                          <a:srgbClr val="FF0000"/>
                        </a:solidFill>
                      </a:defRPr>
                    </a:pPr>
                    <a:r>
                      <a:rPr lang="ru-RU"/>
                      <a:t>разъяснения законодательства по вопросам предоставления санаторно-курортного лечения (107 чел.) -
27%</a:t>
                    </a:r>
                  </a:p>
                </c:rich>
              </c:tx>
              <c:spPr/>
              <c:dLblPos val="bestFit"/>
            </c:dLbl>
            <c:dLbl>
              <c:idx val="4"/>
              <c:layout>
                <c:manualLayout>
                  <c:x val="-6.5365950050130933E-2"/>
                  <c:y val="7.5810600960124763E-2"/>
                </c:manualLayout>
              </c:layout>
              <c:tx>
                <c:rich>
                  <a:bodyPr/>
                  <a:lstStyle/>
                  <a:p>
                    <a:r>
                      <a:rPr lang="ru-RU">
                        <a:solidFill>
                          <a:srgbClr val="C00000"/>
                        </a:solidFill>
                      </a:rPr>
                      <a:t>разъяснения законодательства по вопросам предоставления технических средств реабилитации (42 чел.) -
11%</a:t>
                    </a:r>
                  </a:p>
                </c:rich>
              </c:tx>
              <c:dLblPos val="bestFit"/>
            </c:dLbl>
            <c:dLbl>
              <c:idx val="5"/>
              <c:layout>
                <c:manualLayout>
                  <c:x val="-0.105416930122"/>
                  <c:y val="-9.7525172681373562E-2"/>
                </c:manualLayout>
              </c:layout>
              <c:tx>
                <c:rich>
                  <a:bodyPr/>
                  <a:lstStyle/>
                  <a:p>
                    <a:pPr>
                      <a:defRPr>
                        <a:solidFill>
                          <a:schemeClr val="accent1"/>
                        </a:solidFill>
                      </a:defRPr>
                    </a:pPr>
                    <a:r>
                      <a:rPr lang="ru-RU"/>
                      <a:t>замена технических средств реабилитации (10 чел.) -
2%</a:t>
                    </a:r>
                  </a:p>
                </c:rich>
              </c:tx>
              <c:spPr/>
              <c:dLblPos val="bestFit"/>
            </c:dLbl>
            <c:dLbl>
              <c:idx val="6"/>
              <c:tx>
                <c:rich>
                  <a:bodyPr/>
                  <a:lstStyle/>
                  <a:p>
                    <a:r>
                      <a:rPr lang="ru-RU"/>
                      <a:t>компенсация за самостоятельно приобретенные технические средства реабилитации (5 чел.) -
1%</a:t>
                    </a:r>
                  </a:p>
                </c:rich>
              </c:tx>
              <c:dLblPos val="bestFit"/>
            </c:dLbl>
            <c:dLbl>
              <c:idx val="7"/>
              <c:layout>
                <c:manualLayout>
                  <c:x val="0.23085700645147841"/>
                  <c:y val="-2.2362622945308767E-2"/>
                </c:manualLayout>
              </c:layout>
              <c:tx>
                <c:rich>
                  <a:bodyPr/>
                  <a:lstStyle/>
                  <a:p>
                    <a:pPr>
                      <a:defRPr>
                        <a:solidFill>
                          <a:schemeClr val="accent2"/>
                        </a:solidFill>
                      </a:defRPr>
                    </a:pPr>
                    <a:r>
                      <a:rPr lang="ru-RU"/>
                      <a:t>проезд к месту лечения и обратно (11 чел.)-
3%</a:t>
                    </a:r>
                  </a:p>
                </c:rich>
              </c:tx>
              <c:spPr/>
              <c:dLblPos val="bestFit"/>
            </c:dLbl>
            <c:txPr>
              <a:bodyPr/>
              <a:lstStyle/>
              <a:p>
                <a:pPr>
                  <a:defRPr>
                    <a:solidFill>
                      <a:srgbClr val="7030A0"/>
                    </a:solidFill>
                  </a:defRPr>
                </a:pPr>
                <a:endParaRPr lang="ru-RU"/>
              </a:p>
            </c:txPr>
            <c:showCatName val="1"/>
            <c:showPercent val="1"/>
            <c:showLeaderLines val="1"/>
          </c:dLbls>
          <c:cat>
            <c:strRef>
              <c:f>Лист1!$A$2:$A$9</c:f>
              <c:strCache>
                <c:ptCount val="8"/>
                <c:pt idx="0">
                  <c:v>обеспечение санаторно-курортным лечением</c:v>
                </c:pt>
                <c:pt idx="1">
                  <c:v>обеспечение техническими средствами реабилитации</c:v>
                </c:pt>
                <c:pt idx="2">
                  <c:v>жалобы</c:v>
                </c:pt>
                <c:pt idx="3">
                  <c:v>разъяснения законодательства по вопросам предоставления санаторно-курортного лечения</c:v>
                </c:pt>
                <c:pt idx="4">
                  <c:v>разъяснения законодательства по вопросам предоставления технических средств реабилитации</c:v>
                </c:pt>
                <c:pt idx="5">
                  <c:v>замена технических средств реабилитации</c:v>
                </c:pt>
                <c:pt idx="6">
                  <c:v>компенсация за самостоятельно приобретенные технические средства реабилитации</c:v>
                </c:pt>
                <c:pt idx="7">
                  <c:v>проезд к месту лечения и обратно</c:v>
                </c:pt>
              </c:strCache>
            </c:strRef>
          </c:cat>
          <c:val>
            <c:numRef>
              <c:f>Лист1!$B$2:$B$9</c:f>
              <c:numCache>
                <c:formatCode>General</c:formatCode>
                <c:ptCount val="8"/>
                <c:pt idx="0">
                  <c:v>170</c:v>
                </c:pt>
                <c:pt idx="1">
                  <c:v>42</c:v>
                </c:pt>
                <c:pt idx="2">
                  <c:v>12</c:v>
                </c:pt>
                <c:pt idx="3">
                  <c:v>107</c:v>
                </c:pt>
                <c:pt idx="4">
                  <c:v>42</c:v>
                </c:pt>
                <c:pt idx="5">
                  <c:v>10</c:v>
                </c:pt>
                <c:pt idx="6">
                  <c:v>5</c:v>
                </c:pt>
                <c:pt idx="7">
                  <c:v>11</c:v>
                </c:pt>
              </c:numCache>
            </c:numRef>
          </c:val>
        </c:ser>
        <c:dLbls>
          <c:showCatName val="1"/>
          <c:showPercent val="1"/>
        </c:dLbls>
      </c:pie3DChart>
      <c:spPr>
        <a:noFill/>
        <a:ln w="21477">
          <a:noFill/>
        </a:ln>
      </c:spPr>
    </c:plotArea>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b="1"/>
              <a:t>Среднемесячная заработная плата по отдельным видам экономической деятельности Республики Татарстан  в 2012 году
по сравнению с предыдущим годом</a:t>
            </a:r>
          </a:p>
        </c:rich>
      </c:tx>
      <c:layout>
        <c:manualLayout>
          <c:xMode val="edge"/>
          <c:yMode val="edge"/>
          <c:x val="0.15161557580778789"/>
          <c:y val="1.2228260869565221E-2"/>
        </c:manualLayout>
      </c:layout>
      <c:spPr>
        <a:noFill/>
        <a:ln w="25400">
          <a:noFill/>
        </a:ln>
      </c:spPr>
    </c:title>
    <c:plotArea>
      <c:layout>
        <c:manualLayout>
          <c:layoutTarget val="inner"/>
          <c:xMode val="edge"/>
          <c:yMode val="edge"/>
          <c:x val="0.45529207357779528"/>
          <c:y val="0.17119565217391303"/>
          <c:w val="0.48937442782369928"/>
          <c:h val="0.57971014492753559"/>
        </c:manualLayout>
      </c:layout>
      <c:barChart>
        <c:barDir val="bar"/>
        <c:grouping val="clustered"/>
        <c:ser>
          <c:idx val="0"/>
          <c:order val="0"/>
          <c:tx>
            <c:strRef>
              <c:f>'таб_янв_нояб сокр'!$B$3:$B$5</c:f>
              <c:strCache>
                <c:ptCount val="1"/>
                <c:pt idx="0">
                  <c:v>Среднемесячная заработная плата за январь-ноябрь 2011г.               </c:v>
                </c:pt>
              </c:strCache>
            </c:strRef>
          </c:tx>
          <c:spPr>
            <a:gradFill rotWithShape="0">
              <a:gsLst>
                <a:gs pos="0">
                  <a:srgbClr val="CCFFCC"/>
                </a:gs>
                <a:gs pos="100000">
                  <a:srgbClr val="CCFFCC">
                    <a:gamma/>
                    <a:shade val="46275"/>
                    <a:invGamma/>
                  </a:srgbClr>
                </a:gs>
              </a:gsLst>
              <a:lin ang="5400000" scaled="1"/>
            </a:gradFill>
            <a:ln w="12700">
              <a:solidFill>
                <a:srgbClr val="000000"/>
              </a:solidFill>
              <a:prstDash val="solid"/>
            </a:ln>
          </c:spPr>
          <c:dLbls>
            <c:dLbl>
              <c:idx val="0"/>
              <c:layout>
                <c:manualLayout>
                  <c:x val="5.1735610513474473E-3"/>
                  <c:y val="-7.3836728289419426E-4"/>
                </c:manualLayout>
              </c:layout>
              <c:dLblPos val="outEnd"/>
              <c:showVal val="1"/>
            </c:dLbl>
            <c:spPr>
              <a:noFill/>
              <a:ln w="25400">
                <a:noFill/>
              </a:ln>
            </c:spPr>
            <c:showVal val="1"/>
          </c:dLbls>
          <c:cat>
            <c:strRef>
              <c:f>'таб_янв_нояб сокр'!$A$6:$A$14</c:f>
              <c:strCache>
                <c:ptCount val="9"/>
                <c:pt idx="0">
                  <c:v>ФИНАНСОВАЯ ДЕЯТЕЛЬНОСТЬ</c:v>
                </c:pt>
                <c:pt idx="1">
                  <c:v>СТРОИТЕЛЬСТВО</c:v>
                </c:pt>
                <c:pt idx="2">
                  <c:v>ТРАНСПОРТ И СВЯЗЬ</c:v>
                </c:pt>
                <c:pt idx="3">
                  <c:v>ОБРАБАТЫВАЮЩИЕ ПРОИЗВОДСТВА</c:v>
                </c:pt>
                <c:pt idx="4">
                  <c:v>ОПТОВАЯ И РОЗНИЧНАЯ ТОРГОВЛЯ</c:v>
                </c:pt>
                <c:pt idx="5">
                  <c:v>ЗДРАВООХРАНЕНИЕ И ПРЕДОСТАВЛЕНИЕ СОЦИАЛЬНЫХ  УСЛУГ</c:v>
                </c:pt>
                <c:pt idx="6">
                  <c:v>ОБРАЗОВАНИЕ</c:v>
                </c:pt>
                <c:pt idx="7">
                  <c:v>СЕЛЬСКОЕ ХОЗЯЙСТВО, ОХОТА И ЛЕСНОЕ ХОЗЯЙСТВО</c:v>
                </c:pt>
                <c:pt idx="8">
                  <c:v> ВСЕГО:</c:v>
                </c:pt>
              </c:strCache>
            </c:strRef>
          </c:cat>
          <c:val>
            <c:numRef>
              <c:f>'таб_янв_нояб сокр'!$B$6:$B$14</c:f>
              <c:numCache>
                <c:formatCode>0.0</c:formatCode>
                <c:ptCount val="9"/>
                <c:pt idx="0">
                  <c:v>28316.1</c:v>
                </c:pt>
                <c:pt idx="1">
                  <c:v>23711.4</c:v>
                </c:pt>
                <c:pt idx="2">
                  <c:v>21245.9</c:v>
                </c:pt>
                <c:pt idx="3">
                  <c:v>20091</c:v>
                </c:pt>
                <c:pt idx="4">
                  <c:v>19048</c:v>
                </c:pt>
                <c:pt idx="5">
                  <c:v>13546.9</c:v>
                </c:pt>
                <c:pt idx="6">
                  <c:v>13305.4</c:v>
                </c:pt>
                <c:pt idx="7">
                  <c:v>9864.9</c:v>
                </c:pt>
                <c:pt idx="8">
                  <c:v>19243.900000000001</c:v>
                </c:pt>
              </c:numCache>
            </c:numRef>
          </c:val>
        </c:ser>
        <c:ser>
          <c:idx val="1"/>
          <c:order val="1"/>
          <c:tx>
            <c:strRef>
              <c:f>'таб_янв_нояб сокр'!$C$3:$C$5</c:f>
              <c:strCache>
                <c:ptCount val="1"/>
                <c:pt idx="0">
                  <c:v>Среднемесячная заработная плата за январь-ноябрь 2012г.                 </c:v>
                </c:pt>
              </c:strCache>
            </c:strRef>
          </c:tx>
          <c:spPr>
            <a:gradFill rotWithShape="0">
              <a:gsLst>
                <a:gs pos="0">
                  <a:srgbClr val="FF8080"/>
                </a:gs>
                <a:gs pos="100000">
                  <a:srgbClr val="FF8080">
                    <a:gamma/>
                    <a:shade val="36078"/>
                    <a:invGamma/>
                  </a:srgbClr>
                </a:gs>
              </a:gsLst>
              <a:lin ang="0" scaled="1"/>
            </a:gradFill>
            <a:ln w="12700">
              <a:solidFill>
                <a:srgbClr val="000000"/>
              </a:solidFill>
              <a:prstDash val="solid"/>
            </a:ln>
          </c:spPr>
          <c:dLbls>
            <c:dLbl>
              <c:idx val="0"/>
              <c:layout>
                <c:manualLayout>
                  <c:x val="3.5309121985268601E-3"/>
                  <c:y val="-1.4648771824717684E-2"/>
                </c:manualLayout>
              </c:layout>
              <c:dLblPos val="outEnd"/>
              <c:showVal val="1"/>
            </c:dLbl>
            <c:dLbl>
              <c:idx val="1"/>
              <c:layout>
                <c:manualLayout>
                  <c:x val="1.3542502506159265E-2"/>
                  <c:y val="-6.9494964623988088E-3"/>
                </c:manualLayout>
              </c:layout>
              <c:dLblPos val="outEnd"/>
              <c:showVal val="1"/>
            </c:dLbl>
            <c:dLbl>
              <c:idx val="2"/>
              <c:layout>
                <c:manualLayout>
                  <c:x val="1.9864439066075604E-3"/>
                  <c:y val="-7.4023950131234251E-3"/>
                </c:manualLayout>
              </c:layout>
              <c:dLblPos val="outEnd"/>
              <c:showVal val="1"/>
            </c:dLbl>
            <c:dLbl>
              <c:idx val="3"/>
              <c:layout>
                <c:manualLayout>
                  <c:x val="1.2293771894916498E-3"/>
                  <c:y val="-1.46487718247177E-2"/>
                </c:manualLayout>
              </c:layout>
              <c:dLblPos val="outEnd"/>
              <c:showVal val="1"/>
            </c:dLbl>
            <c:dLbl>
              <c:idx val="4"/>
              <c:layout>
                <c:manualLayout>
                  <c:x val="6.2224512739538591E-4"/>
                  <c:y val="-1.3742974723268393E-2"/>
                </c:manualLayout>
              </c:layout>
              <c:dLblPos val="outEnd"/>
              <c:showVal val="1"/>
            </c:dLbl>
            <c:dLbl>
              <c:idx val="5"/>
              <c:layout>
                <c:manualLayout>
                  <c:x val="3.0558835489390484E-3"/>
                  <c:y val="-1.4195873273992922E-2"/>
                </c:manualLayout>
              </c:layout>
              <c:dLblPos val="outEnd"/>
              <c:showVal val="1"/>
            </c:dLbl>
            <c:dLbl>
              <c:idx val="6"/>
              <c:layout>
                <c:manualLayout>
                  <c:x val="5.4650583755738134E-3"/>
                  <c:y val="-1.0572684868195811E-2"/>
                </c:manualLayout>
              </c:layout>
              <c:dLblPos val="outEnd"/>
              <c:showVal val="1"/>
            </c:dLbl>
            <c:dLbl>
              <c:idx val="8"/>
              <c:layout>
                <c:manualLayout>
                  <c:x val="1.6368863171307686E-3"/>
                  <c:y val="-1.4195873273992944E-2"/>
                </c:manualLayout>
              </c:layout>
              <c:dLblPos val="outEnd"/>
              <c:showVal val="1"/>
            </c:dLbl>
            <c:spPr>
              <a:noFill/>
              <a:ln w="25400">
                <a:noFill/>
              </a:ln>
            </c:spPr>
            <c:showVal val="1"/>
          </c:dLbls>
          <c:cat>
            <c:strRef>
              <c:f>'таб_янв_нояб сокр'!$A$6:$A$14</c:f>
              <c:strCache>
                <c:ptCount val="9"/>
                <c:pt idx="0">
                  <c:v>ФИНАНСОВАЯ ДЕЯТЕЛЬНОСТЬ</c:v>
                </c:pt>
                <c:pt idx="1">
                  <c:v>СТРОИТЕЛЬСТВО</c:v>
                </c:pt>
                <c:pt idx="2">
                  <c:v>ТРАНСПОРТ И СВЯЗЬ</c:v>
                </c:pt>
                <c:pt idx="3">
                  <c:v>ОБРАБАТЫВАЮЩИЕ ПРОИЗВОДСТВА</c:v>
                </c:pt>
                <c:pt idx="4">
                  <c:v>ОПТОВАЯ И РОЗНИЧНАЯ ТОРГОВЛЯ</c:v>
                </c:pt>
                <c:pt idx="5">
                  <c:v>ЗДРАВООХРАНЕНИЕ И ПРЕДОСТАВЛЕНИЕ СОЦИАЛЬНЫХ  УСЛУГ</c:v>
                </c:pt>
                <c:pt idx="6">
                  <c:v>ОБРАЗОВАНИЕ</c:v>
                </c:pt>
                <c:pt idx="7">
                  <c:v>СЕЛЬСКОЕ ХОЗЯЙСТВО, ОХОТА И ЛЕСНОЕ ХОЗЯЙСТВО</c:v>
                </c:pt>
                <c:pt idx="8">
                  <c:v> ВСЕГО:</c:v>
                </c:pt>
              </c:strCache>
            </c:strRef>
          </c:cat>
          <c:val>
            <c:numRef>
              <c:f>'таб_янв_нояб сокр'!$C$6:$C$14</c:f>
              <c:numCache>
                <c:formatCode>0.0</c:formatCode>
                <c:ptCount val="9"/>
                <c:pt idx="0">
                  <c:v>30550.2</c:v>
                </c:pt>
                <c:pt idx="1">
                  <c:v>25568.1</c:v>
                </c:pt>
                <c:pt idx="2">
                  <c:v>24239</c:v>
                </c:pt>
                <c:pt idx="3">
                  <c:v>23308</c:v>
                </c:pt>
                <c:pt idx="4">
                  <c:v>23575.599999999922</c:v>
                </c:pt>
                <c:pt idx="5">
                  <c:v>16292.4</c:v>
                </c:pt>
                <c:pt idx="6">
                  <c:v>15941.7</c:v>
                </c:pt>
                <c:pt idx="7">
                  <c:v>11421.8</c:v>
                </c:pt>
                <c:pt idx="8">
                  <c:v>22447.7</c:v>
                </c:pt>
              </c:numCache>
            </c:numRef>
          </c:val>
        </c:ser>
        <c:dLbls>
          <c:showVal val="1"/>
        </c:dLbls>
        <c:axId val="71910912"/>
        <c:axId val="71912448"/>
      </c:barChart>
      <c:catAx>
        <c:axId val="71910912"/>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71912448"/>
        <c:crosses val="autoZero"/>
        <c:auto val="1"/>
        <c:lblAlgn val="ctr"/>
        <c:lblOffset val="100"/>
        <c:tickLblSkip val="1"/>
        <c:tickMarkSkip val="1"/>
      </c:catAx>
      <c:valAx>
        <c:axId val="71912448"/>
        <c:scaling>
          <c:orientation val="minMax"/>
        </c:scaling>
        <c:axPos val="b"/>
        <c:majorGridlines>
          <c:spPr>
            <a:ln w="3175">
              <a:solidFill>
                <a:srgbClr val="000000"/>
              </a:solidFill>
              <a:prstDash val="solid"/>
            </a:ln>
          </c:spPr>
        </c:majorGridlines>
        <c:numFmt formatCode="0.0" sourceLinked="1"/>
        <c:tickLblPos val="nextTo"/>
        <c:spPr>
          <a:ln w="3175">
            <a:solidFill>
              <a:srgbClr val="000000"/>
            </a:solidFill>
            <a:prstDash val="solid"/>
          </a:ln>
        </c:spPr>
        <c:txPr>
          <a:bodyPr rot="0" vert="horz"/>
          <a:lstStyle/>
          <a:p>
            <a:pPr>
              <a:defRPr/>
            </a:pPr>
            <a:endParaRPr lang="ru-RU"/>
          </a:p>
        </c:txPr>
        <c:crossAx val="71910912"/>
        <c:crosses val="autoZero"/>
        <c:crossBetween val="between"/>
      </c:valAx>
      <c:spPr>
        <a:gradFill rotWithShape="0">
          <a:gsLst>
            <a:gs pos="0">
              <a:srgbClr val="FFFFFF">
                <a:gamma/>
                <a:shade val="71373"/>
                <a:invGamma/>
              </a:srgbClr>
            </a:gs>
            <a:gs pos="100000">
              <a:srgbClr val="FFFFFF"/>
            </a:gs>
          </a:gsLst>
          <a:lin ang="5400000" scaled="1"/>
        </a:gradFill>
        <a:ln w="12700">
          <a:solidFill>
            <a:srgbClr val="808080"/>
          </a:solidFill>
          <a:prstDash val="solid"/>
        </a:ln>
      </c:spPr>
    </c:plotArea>
    <c:legend>
      <c:legendPos val="b"/>
      <c:layout>
        <c:manualLayout>
          <c:xMode val="edge"/>
          <c:yMode val="edge"/>
          <c:x val="2.5683512841756496E-2"/>
          <c:y val="0.90624999999999989"/>
          <c:w val="0.95443247721623858"/>
          <c:h val="8.6956521739130543E-2"/>
        </c:manualLayout>
      </c:layout>
      <c:spPr>
        <a:solidFill>
          <a:srgbClr val="FFFFFF"/>
        </a:solidFill>
        <a:ln w="3175">
          <a:solidFill>
            <a:srgbClr val="FFFFFF"/>
          </a:solidFill>
          <a:prstDash val="solid"/>
        </a:ln>
      </c:spPr>
    </c:legend>
    <c:plotVisOnly val="1"/>
    <c:dispBlanksAs val="gap"/>
  </c:chart>
  <c:spPr>
    <a:noFill/>
    <a:ln w="9525">
      <a:noFill/>
    </a:ln>
  </c:spPr>
  <c:txPr>
    <a:bodyPr/>
    <a:lstStyle/>
    <a:p>
      <a:pPr>
        <a:defRPr sz="700" b="0"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b="1"/>
              <a:t>Динамика просроченной задолженности по заработной плате и численности работающих, перед которыми организации имеют просроченную задолженность в Республике Татарстан </a:t>
            </a:r>
          </a:p>
          <a:p>
            <a:pPr>
              <a:defRPr/>
            </a:pPr>
            <a:r>
              <a:rPr lang="ru-RU" b="1"/>
              <a:t>в 2012 г. ( по данным Татарстанстата)</a:t>
            </a:r>
          </a:p>
        </c:rich>
      </c:tx>
      <c:layout>
        <c:manualLayout>
          <c:xMode val="edge"/>
          <c:yMode val="edge"/>
          <c:x val="8.6164034013558904E-2"/>
          <c:y val="1.6304514523330663E-2"/>
        </c:manualLayout>
      </c:layout>
      <c:spPr>
        <a:noFill/>
        <a:ln w="25400">
          <a:noFill/>
        </a:ln>
      </c:spPr>
    </c:title>
    <c:plotArea>
      <c:layout>
        <c:manualLayout>
          <c:layoutTarget val="inner"/>
          <c:xMode val="edge"/>
          <c:yMode val="edge"/>
          <c:x val="8.0364540182271016E-2"/>
          <c:y val="0.23369565217391303"/>
          <c:w val="0.90472245236122661"/>
          <c:h val="0.46603260869565238"/>
        </c:manualLayout>
      </c:layout>
      <c:barChart>
        <c:barDir val="col"/>
        <c:grouping val="clustered"/>
        <c:ser>
          <c:idx val="1"/>
          <c:order val="0"/>
          <c:tx>
            <c:strRef>
              <c:f>'таб- дин проср зад'!$A$5:$B$5</c:f>
              <c:strCache>
                <c:ptCount val="1"/>
                <c:pt idx="0">
                  <c:v>Суммарная просроченная задолженность по заработной плате, тыс.руб.</c:v>
                </c:pt>
              </c:strCache>
            </c:strRef>
          </c:tx>
          <c:spPr>
            <a:gradFill rotWithShape="0">
              <a:gsLst>
                <a:gs pos="0">
                  <a:srgbClr val="660066"/>
                </a:gs>
                <a:gs pos="50000">
                  <a:srgbClr val="660066">
                    <a:gamma/>
                    <a:tint val="28235"/>
                    <a:invGamma/>
                  </a:srgbClr>
                </a:gs>
                <a:gs pos="100000">
                  <a:srgbClr val="660066"/>
                </a:gs>
              </a:gsLst>
              <a:lin ang="0" scaled="1"/>
            </a:gradFill>
            <a:ln w="12700">
              <a:solidFill>
                <a:srgbClr val="000000"/>
              </a:solidFill>
              <a:prstDash val="solid"/>
            </a:ln>
          </c:spPr>
          <c:dLbls>
            <c:dLbl>
              <c:idx val="0"/>
              <c:layout>
                <c:manualLayout>
                  <c:x val="1.6640245984164977E-2"/>
                  <c:y val="-7.411666951957197E-3"/>
                </c:manualLayout>
              </c:layout>
              <c:spPr>
                <a:noFill/>
                <a:ln w="25400">
                  <a:noFill/>
                </a:ln>
              </c:spPr>
              <c:txPr>
                <a:bodyPr/>
                <a:lstStyle/>
                <a:p>
                  <a:pPr>
                    <a:defRPr/>
                  </a:pPr>
                  <a:endParaRPr lang="ru-RU"/>
                </a:p>
              </c:txPr>
              <c:dLblPos val="outEnd"/>
              <c:showVal val="1"/>
            </c:dLbl>
            <c:dLbl>
              <c:idx val="1"/>
              <c:layout>
                <c:manualLayout>
                  <c:x val="2.5380925354504681E-2"/>
                  <c:y val="-7.0236719730685524E-3"/>
                </c:manualLayout>
              </c:layout>
              <c:spPr>
                <a:noFill/>
                <a:ln w="25400">
                  <a:noFill/>
                </a:ln>
              </c:spPr>
              <c:txPr>
                <a:bodyPr/>
                <a:lstStyle/>
                <a:p>
                  <a:pPr>
                    <a:defRPr/>
                  </a:pPr>
                  <a:endParaRPr lang="ru-RU"/>
                </a:p>
              </c:txPr>
              <c:dLblPos val="outEnd"/>
              <c:showVal val="1"/>
            </c:dLbl>
            <c:dLbl>
              <c:idx val="2"/>
              <c:layout>
                <c:manualLayout>
                  <c:x val="1.0195230360082382E-2"/>
                  <c:y val="-1.6563427193883401E-2"/>
                </c:manualLayout>
              </c:layout>
              <c:spPr>
                <a:noFill/>
                <a:ln w="25400">
                  <a:noFill/>
                </a:ln>
              </c:spPr>
              <c:txPr>
                <a:bodyPr/>
                <a:lstStyle/>
                <a:p>
                  <a:pPr>
                    <a:defRPr/>
                  </a:pPr>
                  <a:endParaRPr lang="ru-RU"/>
                </a:p>
              </c:txPr>
              <c:dLblPos val="outEnd"/>
              <c:showVal val="1"/>
            </c:dLbl>
            <c:dLbl>
              <c:idx val="3"/>
              <c:layout>
                <c:manualLayout>
                  <c:x val="1.3136406830670628E-2"/>
                  <c:y val="-2.5990314390049018E-2"/>
                </c:manualLayout>
              </c:layout>
              <c:spPr>
                <a:noFill/>
                <a:ln w="25400">
                  <a:noFill/>
                </a:ln>
              </c:spPr>
              <c:txPr>
                <a:bodyPr/>
                <a:lstStyle/>
                <a:p>
                  <a:pPr>
                    <a:defRPr/>
                  </a:pPr>
                  <a:endParaRPr lang="ru-RU"/>
                </a:p>
              </c:txPr>
              <c:dLblPos val="outEnd"/>
              <c:showVal val="1"/>
            </c:dLbl>
            <c:dLbl>
              <c:idx val="4"/>
              <c:layout>
                <c:manualLayout>
                  <c:x val="1.7278908901921634E-2"/>
                  <c:y val="-2.6983125071322806E-3"/>
                </c:manualLayout>
              </c:layout>
              <c:spPr>
                <a:noFill/>
                <a:ln w="25400">
                  <a:noFill/>
                </a:ln>
              </c:spPr>
              <c:txPr>
                <a:bodyPr/>
                <a:lstStyle/>
                <a:p>
                  <a:pPr>
                    <a:defRPr/>
                  </a:pPr>
                  <a:endParaRPr lang="ru-RU"/>
                </a:p>
              </c:txPr>
              <c:dLblPos val="outEnd"/>
              <c:showVal val="1"/>
            </c:dLbl>
            <c:dLbl>
              <c:idx val="5"/>
              <c:layout>
                <c:manualLayout>
                  <c:x val="1.5621908073421224E-2"/>
                  <c:y val="-7.1878922743352468E-3"/>
                </c:manualLayout>
              </c:layout>
              <c:spPr>
                <a:noFill/>
                <a:ln w="25400">
                  <a:noFill/>
                </a:ln>
              </c:spPr>
              <c:txPr>
                <a:bodyPr/>
                <a:lstStyle/>
                <a:p>
                  <a:pPr>
                    <a:defRPr/>
                  </a:pPr>
                  <a:endParaRPr lang="ru-RU"/>
                </a:p>
              </c:txPr>
              <c:dLblPos val="outEnd"/>
              <c:showVal val="1"/>
            </c:dLbl>
            <c:dLbl>
              <c:idx val="6"/>
              <c:layout>
                <c:manualLayout>
                  <c:x val="1.8107409316171923E-2"/>
                  <c:y val="-2.6490999087070656E-3"/>
                </c:manualLayout>
              </c:layout>
              <c:spPr>
                <a:noFill/>
                <a:ln w="25400">
                  <a:noFill/>
                </a:ln>
              </c:spPr>
              <c:txPr>
                <a:bodyPr/>
                <a:lstStyle/>
                <a:p>
                  <a:pPr>
                    <a:defRPr/>
                  </a:pPr>
                  <a:endParaRPr lang="ru-RU"/>
                </a:p>
              </c:txPr>
              <c:dLblPos val="outEnd"/>
              <c:showVal val="1"/>
            </c:dLbl>
            <c:dLbl>
              <c:idx val="7"/>
              <c:layout>
                <c:manualLayout>
                  <c:x val="1.350923201708314E-2"/>
                  <c:y val="-1.3753673114230303E-2"/>
                </c:manualLayout>
              </c:layout>
              <c:spPr>
                <a:noFill/>
                <a:ln w="25400">
                  <a:noFill/>
                </a:ln>
              </c:spPr>
              <c:txPr>
                <a:bodyPr/>
                <a:lstStyle/>
                <a:p>
                  <a:pPr>
                    <a:defRPr/>
                  </a:pPr>
                  <a:endParaRPr lang="ru-RU"/>
                </a:p>
              </c:txPr>
              <c:dLblPos val="outEnd"/>
              <c:showVal val="1"/>
            </c:dLbl>
            <c:dLbl>
              <c:idx val="8"/>
              <c:layout>
                <c:manualLayout>
                  <c:x val="1.1841902115176729E-2"/>
                  <c:y val="-1.1533578683099496E-2"/>
                </c:manualLayout>
              </c:layout>
              <c:spPr>
                <a:noFill/>
                <a:ln w="25400">
                  <a:noFill/>
                </a:ln>
              </c:spPr>
              <c:txPr>
                <a:bodyPr/>
                <a:lstStyle/>
                <a:p>
                  <a:pPr>
                    <a:defRPr/>
                  </a:pPr>
                  <a:endParaRPr lang="ru-RU"/>
                </a:p>
              </c:txPr>
              <c:dLblPos val="outEnd"/>
              <c:showVal val="1"/>
            </c:dLbl>
            <c:dLbl>
              <c:idx val="9"/>
              <c:layout>
                <c:manualLayout>
                  <c:x val="1.3498902943677152E-2"/>
                  <c:y val="-7.4665853588953791E-3"/>
                </c:manualLayout>
              </c:layout>
              <c:spPr>
                <a:noFill/>
                <a:ln w="25400">
                  <a:noFill/>
                </a:ln>
              </c:spPr>
              <c:txPr>
                <a:bodyPr/>
                <a:lstStyle/>
                <a:p>
                  <a:pPr>
                    <a:defRPr/>
                  </a:pPr>
                  <a:endParaRPr lang="ru-RU"/>
                </a:p>
              </c:txPr>
              <c:dLblPos val="outEnd"/>
              <c:showVal val="1"/>
            </c:dLbl>
            <c:dLbl>
              <c:idx val="10"/>
              <c:layout>
                <c:manualLayout>
                  <c:x val="8.5279004581758685E-3"/>
                  <c:y val="-1.7127232397580822E-2"/>
                </c:manualLayout>
              </c:layout>
              <c:spPr>
                <a:noFill/>
                <a:ln w="25400">
                  <a:noFill/>
                </a:ln>
              </c:spPr>
              <c:txPr>
                <a:bodyPr/>
                <a:lstStyle/>
                <a:p>
                  <a:pPr>
                    <a:defRPr/>
                  </a:pPr>
                  <a:endParaRPr lang="ru-RU"/>
                </a:p>
              </c:txPr>
              <c:dLblPos val="outEnd"/>
              <c:showVal val="1"/>
            </c:dLbl>
            <c:dLbl>
              <c:idx val="11"/>
              <c:layout>
                <c:manualLayout>
                  <c:x val="1.1841902115176701E-2"/>
                  <c:y val="-1.2722169918977625E-2"/>
                </c:manualLayout>
              </c:layout>
              <c:spPr>
                <a:noFill/>
                <a:ln w="25400">
                  <a:noFill/>
                </a:ln>
              </c:spPr>
              <c:txPr>
                <a:bodyPr/>
                <a:lstStyle/>
                <a:p>
                  <a:pPr>
                    <a:defRPr/>
                  </a:pPr>
                  <a:endParaRPr lang="ru-RU"/>
                </a:p>
              </c:txPr>
              <c:dLblPos val="outEnd"/>
              <c:showVal val="1"/>
            </c:dLbl>
            <c:dLbl>
              <c:idx val="12"/>
              <c:layout>
                <c:manualLayout>
                  <c:x val="1.5438920383502201E-2"/>
                  <c:y val="-1.6965865000570708E-3"/>
                </c:manualLayout>
              </c:layout>
              <c:spPr>
                <a:noFill/>
                <a:ln w="25400">
                  <a:noFill/>
                </a:ln>
              </c:spPr>
              <c:txPr>
                <a:bodyPr/>
                <a:lstStyle/>
                <a:p>
                  <a:pPr>
                    <a:defRPr/>
                  </a:pPr>
                  <a:endParaRPr lang="ru-RU"/>
                </a:p>
              </c:txPr>
              <c:dLblPos val="outEnd"/>
              <c:showVal val="1"/>
            </c:dLbl>
            <c:spPr>
              <a:noFill/>
              <a:ln w="25400">
                <a:noFill/>
              </a:ln>
            </c:spPr>
            <c:showVal val="1"/>
          </c:dLbls>
          <c:cat>
            <c:strRef>
              <c:f>'таб- дин проср зад'!$C$4:$O$4</c:f>
              <c:strCache>
                <c:ptCount val="13"/>
                <c:pt idx="0">
                  <c:v>1 января 2012г.</c:v>
                </c:pt>
                <c:pt idx="1">
                  <c:v>1 февраля</c:v>
                </c:pt>
                <c:pt idx="2">
                  <c:v>1 марта</c:v>
                </c:pt>
                <c:pt idx="3">
                  <c:v>1 апреля</c:v>
                </c:pt>
                <c:pt idx="4">
                  <c:v>1 мая</c:v>
                </c:pt>
                <c:pt idx="5">
                  <c:v>1 июня</c:v>
                </c:pt>
                <c:pt idx="6">
                  <c:v>1 июля</c:v>
                </c:pt>
                <c:pt idx="7">
                  <c:v>1 августа</c:v>
                </c:pt>
                <c:pt idx="8">
                  <c:v>1 сентября</c:v>
                </c:pt>
                <c:pt idx="9">
                  <c:v>1 октября</c:v>
                </c:pt>
                <c:pt idx="10">
                  <c:v>1 ноября</c:v>
                </c:pt>
                <c:pt idx="11">
                  <c:v>1 декабря</c:v>
                </c:pt>
                <c:pt idx="12">
                  <c:v>1 января 2013г. </c:v>
                </c:pt>
              </c:strCache>
            </c:strRef>
          </c:cat>
          <c:val>
            <c:numRef>
              <c:f>'таб- дин проср зад'!$C$5:$O$5</c:f>
              <c:numCache>
                <c:formatCode>#,##0</c:formatCode>
                <c:ptCount val="13"/>
                <c:pt idx="0">
                  <c:v>59063</c:v>
                </c:pt>
                <c:pt idx="1">
                  <c:v>60280</c:v>
                </c:pt>
                <c:pt idx="2" formatCode="0">
                  <c:v>61905</c:v>
                </c:pt>
                <c:pt idx="3" formatCode="0">
                  <c:v>68310</c:v>
                </c:pt>
                <c:pt idx="4" formatCode="0">
                  <c:v>65034</c:v>
                </c:pt>
                <c:pt idx="5" formatCode="0">
                  <c:v>69427</c:v>
                </c:pt>
                <c:pt idx="6" formatCode="0">
                  <c:v>61551</c:v>
                </c:pt>
                <c:pt idx="7" formatCode="0">
                  <c:v>54813</c:v>
                </c:pt>
                <c:pt idx="8" formatCode="0">
                  <c:v>64252</c:v>
                </c:pt>
                <c:pt idx="9" formatCode="0">
                  <c:v>65030</c:v>
                </c:pt>
                <c:pt idx="10" formatCode="0">
                  <c:v>64352</c:v>
                </c:pt>
                <c:pt idx="11" formatCode="0">
                  <c:v>61110</c:v>
                </c:pt>
                <c:pt idx="12" formatCode="0.0">
                  <c:v>40421</c:v>
                </c:pt>
              </c:numCache>
            </c:numRef>
          </c:val>
        </c:ser>
        <c:dLbls>
          <c:showVal val="1"/>
        </c:dLbls>
        <c:axId val="71991680"/>
        <c:axId val="71993216"/>
      </c:barChart>
      <c:lineChart>
        <c:grouping val="standard"/>
        <c:ser>
          <c:idx val="0"/>
          <c:order val="1"/>
          <c:tx>
            <c:strRef>
              <c:f>'таб- дин проср зад'!$A$6:$B$6</c:f>
              <c:strCache>
                <c:ptCount val="1"/>
                <c:pt idx="0">
                  <c:v>Численность работающих, перед которыми организации имеют  просроченную задолженность, человек</c:v>
                </c:pt>
              </c:strCache>
            </c:strRef>
          </c:tx>
          <c:spPr>
            <a:ln w="38100">
              <a:solidFill>
                <a:srgbClr val="333300"/>
              </a:solidFill>
              <a:prstDash val="solid"/>
            </a:ln>
          </c:spPr>
          <c:marker>
            <c:symbol val="diamond"/>
            <c:size val="12"/>
            <c:spPr>
              <a:solidFill>
                <a:srgbClr val="333300"/>
              </a:solidFill>
              <a:ln>
                <a:solidFill>
                  <a:srgbClr val="333300"/>
                </a:solidFill>
                <a:prstDash val="solid"/>
              </a:ln>
            </c:spPr>
          </c:marker>
          <c:dLbls>
            <c:dLbl>
              <c:idx val="0"/>
              <c:layout>
                <c:manualLayout>
                  <c:x val="-2.8599355900727822E-2"/>
                  <c:y val="-4.0081343432614387E-2"/>
                </c:manualLayout>
              </c:layout>
              <c:spPr>
                <a:noFill/>
                <a:ln w="25400">
                  <a:noFill/>
                </a:ln>
              </c:spPr>
              <c:txPr>
                <a:bodyPr/>
                <a:lstStyle/>
                <a:p>
                  <a:pPr>
                    <a:defRPr/>
                  </a:pPr>
                  <a:endParaRPr lang="ru-RU"/>
                </a:p>
              </c:txPr>
              <c:dLblPos val="r"/>
              <c:showVal val="1"/>
            </c:dLbl>
            <c:dLbl>
              <c:idx val="1"/>
              <c:layout>
                <c:manualLayout>
                  <c:x val="-2.3628353415226618E-2"/>
                  <c:y val="-4.1224109893871846E-2"/>
                </c:manualLayout>
              </c:layout>
              <c:spPr>
                <a:noFill/>
                <a:ln w="25400">
                  <a:noFill/>
                </a:ln>
              </c:spPr>
              <c:txPr>
                <a:bodyPr/>
                <a:lstStyle/>
                <a:p>
                  <a:pPr>
                    <a:defRPr/>
                  </a:pPr>
                  <a:endParaRPr lang="ru-RU"/>
                </a:p>
              </c:txPr>
              <c:dLblPos val="r"/>
              <c:showVal val="1"/>
            </c:dLbl>
            <c:dLbl>
              <c:idx val="2"/>
              <c:layout>
                <c:manualLayout>
                  <c:x val="-2.44568538294768E-2"/>
                  <c:y val="-4.1222683441743999E-2"/>
                </c:manualLayout>
              </c:layout>
              <c:spPr>
                <a:noFill/>
                <a:ln w="25400">
                  <a:noFill/>
                </a:ln>
              </c:spPr>
              <c:txPr>
                <a:bodyPr/>
                <a:lstStyle/>
                <a:p>
                  <a:pPr>
                    <a:defRPr/>
                  </a:pPr>
                  <a:endParaRPr lang="ru-RU"/>
                </a:p>
              </c:txPr>
              <c:dLblPos val="r"/>
              <c:showVal val="1"/>
            </c:dLbl>
            <c:dLbl>
              <c:idx val="3"/>
              <c:layout>
                <c:manualLayout>
                  <c:x val="-2.8599355900727819E-2"/>
                  <c:y val="-3.957834075088449E-2"/>
                </c:manualLayout>
              </c:layout>
              <c:spPr>
                <a:noFill/>
                <a:ln w="25400">
                  <a:noFill/>
                </a:ln>
              </c:spPr>
              <c:txPr>
                <a:bodyPr/>
                <a:lstStyle/>
                <a:p>
                  <a:pPr>
                    <a:defRPr/>
                  </a:pPr>
                  <a:endParaRPr lang="ru-RU"/>
                </a:p>
              </c:txPr>
              <c:dLblPos val="r"/>
              <c:showVal val="1"/>
            </c:dLbl>
            <c:dLbl>
              <c:idx val="4"/>
              <c:layout>
                <c:manualLayout>
                  <c:x val="-2.6942355072227534E-2"/>
                  <c:y val="-3.5481570238502805E-2"/>
                </c:manualLayout>
              </c:layout>
              <c:spPr>
                <a:noFill/>
                <a:ln w="25400">
                  <a:noFill/>
                </a:ln>
              </c:spPr>
              <c:txPr>
                <a:bodyPr/>
                <a:lstStyle/>
                <a:p>
                  <a:pPr>
                    <a:defRPr/>
                  </a:pPr>
                  <a:endParaRPr lang="ru-RU"/>
                </a:p>
              </c:txPr>
              <c:dLblPos val="r"/>
              <c:showVal val="1"/>
            </c:dLbl>
            <c:dLbl>
              <c:idx val="5"/>
              <c:layout>
                <c:manualLayout>
                  <c:x val="-2.8599355900727826E-2"/>
                  <c:y val="-3.7802229544676692E-2"/>
                </c:manualLayout>
              </c:layout>
              <c:spPr>
                <a:noFill/>
                <a:ln w="25400">
                  <a:noFill/>
                </a:ln>
              </c:spPr>
              <c:txPr>
                <a:bodyPr/>
                <a:lstStyle/>
                <a:p>
                  <a:pPr>
                    <a:defRPr/>
                  </a:pPr>
                  <a:endParaRPr lang="ru-RU"/>
                </a:p>
              </c:txPr>
              <c:dLblPos val="r"/>
              <c:showVal val="1"/>
            </c:dLbl>
            <c:dLbl>
              <c:idx val="6"/>
              <c:layout>
                <c:manualLayout>
                  <c:x val="-2.5285354243726996E-2"/>
                  <c:y val="-3.8222854615999224E-2"/>
                </c:manualLayout>
              </c:layout>
              <c:spPr>
                <a:noFill/>
                <a:ln w="25400">
                  <a:noFill/>
                </a:ln>
              </c:spPr>
              <c:txPr>
                <a:bodyPr/>
                <a:lstStyle/>
                <a:p>
                  <a:pPr>
                    <a:defRPr/>
                  </a:pPr>
                  <a:endParaRPr lang="ru-RU"/>
                </a:p>
              </c:txPr>
              <c:dLblPos val="r"/>
              <c:showVal val="1"/>
            </c:dLbl>
            <c:dLbl>
              <c:idx val="7"/>
              <c:layout>
                <c:manualLayout>
                  <c:x val="-2.6942355072227499E-2"/>
                  <c:y val="-4.1294540967705219E-2"/>
                </c:manualLayout>
              </c:layout>
              <c:spPr>
                <a:noFill/>
                <a:ln w="25400">
                  <a:noFill/>
                </a:ln>
              </c:spPr>
              <c:txPr>
                <a:bodyPr/>
                <a:lstStyle/>
                <a:p>
                  <a:pPr>
                    <a:defRPr/>
                  </a:pPr>
                  <a:endParaRPr lang="ru-RU"/>
                </a:p>
              </c:txPr>
              <c:dLblPos val="r"/>
              <c:showVal val="1"/>
            </c:dLbl>
            <c:dLbl>
              <c:idx val="8"/>
              <c:layout>
                <c:manualLayout>
                  <c:x val="-2.8599355900727843E-2"/>
                  <c:y val="-3.5978153885655596E-2"/>
                </c:manualLayout>
              </c:layout>
              <c:spPr>
                <a:noFill/>
                <a:ln w="25400">
                  <a:noFill/>
                </a:ln>
              </c:spPr>
              <c:txPr>
                <a:bodyPr/>
                <a:lstStyle/>
                <a:p>
                  <a:pPr>
                    <a:defRPr/>
                  </a:pPr>
                  <a:endParaRPr lang="ru-RU"/>
                </a:p>
              </c:txPr>
              <c:dLblPos val="r"/>
              <c:showVal val="1"/>
            </c:dLbl>
            <c:dLbl>
              <c:idx val="9"/>
              <c:layout>
                <c:manualLayout>
                  <c:x val="-2.9427856314978018E-2"/>
                  <c:y val="-3.8975308113659922E-2"/>
                </c:manualLayout>
              </c:layout>
              <c:spPr>
                <a:noFill/>
                <a:ln w="25400">
                  <a:noFill/>
                </a:ln>
              </c:spPr>
              <c:txPr>
                <a:bodyPr/>
                <a:lstStyle/>
                <a:p>
                  <a:pPr>
                    <a:defRPr/>
                  </a:pPr>
                  <a:endParaRPr lang="ru-RU"/>
                </a:p>
              </c:txPr>
              <c:dLblPos val="r"/>
              <c:showVal val="1"/>
            </c:dLbl>
            <c:dLbl>
              <c:idx val="10"/>
              <c:layout>
                <c:manualLayout>
                  <c:x val="-2.9427856314978105E-2"/>
                  <c:y val="-3.5704988303092593E-2"/>
                </c:manualLayout>
              </c:layout>
              <c:spPr>
                <a:noFill/>
                <a:ln w="25400">
                  <a:noFill/>
                </a:ln>
              </c:spPr>
              <c:txPr>
                <a:bodyPr/>
                <a:lstStyle/>
                <a:p>
                  <a:pPr>
                    <a:defRPr/>
                  </a:pPr>
                  <a:endParaRPr lang="ru-RU"/>
                </a:p>
              </c:txPr>
              <c:dLblPos val="r"/>
              <c:showVal val="1"/>
            </c:dLbl>
            <c:dLbl>
              <c:idx val="11"/>
              <c:layout>
                <c:manualLayout>
                  <c:x val="-2.9427856314978081E-2"/>
                  <c:y val="-3.8172037258929682E-2"/>
                </c:manualLayout>
              </c:layout>
              <c:spPr>
                <a:noFill/>
                <a:ln w="25400">
                  <a:noFill/>
                </a:ln>
              </c:spPr>
              <c:txPr>
                <a:bodyPr/>
                <a:lstStyle/>
                <a:p>
                  <a:pPr>
                    <a:defRPr/>
                  </a:pPr>
                  <a:endParaRPr lang="ru-RU"/>
                </a:p>
              </c:txPr>
              <c:dLblPos val="r"/>
              <c:showVal val="1"/>
            </c:dLbl>
            <c:dLbl>
              <c:idx val="12"/>
              <c:layout>
                <c:manualLayout>
                  <c:x val="-6.2137531068765933E-3"/>
                  <c:y val="-3.4356099509300506E-2"/>
                </c:manualLayout>
              </c:layout>
              <c:spPr>
                <a:noFill/>
                <a:ln w="25400">
                  <a:noFill/>
                </a:ln>
              </c:spPr>
              <c:txPr>
                <a:bodyPr/>
                <a:lstStyle/>
                <a:p>
                  <a:pPr>
                    <a:defRPr/>
                  </a:pPr>
                  <a:endParaRPr lang="ru-RU"/>
                </a:p>
              </c:txPr>
              <c:dLblPos val="r"/>
              <c:showVal val="1"/>
            </c:dLbl>
            <c:spPr>
              <a:noFill/>
              <a:ln w="25400">
                <a:noFill/>
              </a:ln>
            </c:spPr>
            <c:showVal val="1"/>
          </c:dLbls>
          <c:cat>
            <c:strRef>
              <c:f>'таб- дин проср зад'!$C$4:$O$4</c:f>
              <c:strCache>
                <c:ptCount val="13"/>
                <c:pt idx="0">
                  <c:v>1 января 2012г.</c:v>
                </c:pt>
                <c:pt idx="1">
                  <c:v>1 февраля</c:v>
                </c:pt>
                <c:pt idx="2">
                  <c:v>1 марта</c:v>
                </c:pt>
                <c:pt idx="3">
                  <c:v>1 апреля</c:v>
                </c:pt>
                <c:pt idx="4">
                  <c:v>1 мая</c:v>
                </c:pt>
                <c:pt idx="5">
                  <c:v>1 июня</c:v>
                </c:pt>
                <c:pt idx="6">
                  <c:v>1 июля</c:v>
                </c:pt>
                <c:pt idx="7">
                  <c:v>1 августа</c:v>
                </c:pt>
                <c:pt idx="8">
                  <c:v>1 сентября</c:v>
                </c:pt>
                <c:pt idx="9">
                  <c:v>1 октября</c:v>
                </c:pt>
                <c:pt idx="10">
                  <c:v>1 ноября</c:v>
                </c:pt>
                <c:pt idx="11">
                  <c:v>1 декабря</c:v>
                </c:pt>
                <c:pt idx="12">
                  <c:v>1 января 2013г. </c:v>
                </c:pt>
              </c:strCache>
            </c:strRef>
          </c:cat>
          <c:val>
            <c:numRef>
              <c:f>'таб- дин проср зад'!$C$6:$O$6</c:f>
              <c:numCache>
                <c:formatCode>0</c:formatCode>
                <c:ptCount val="13"/>
                <c:pt idx="0">
                  <c:v>3773</c:v>
                </c:pt>
                <c:pt idx="1">
                  <c:v>3438</c:v>
                </c:pt>
                <c:pt idx="2">
                  <c:v>2942</c:v>
                </c:pt>
                <c:pt idx="3">
                  <c:v>3576</c:v>
                </c:pt>
                <c:pt idx="4">
                  <c:v>2450</c:v>
                </c:pt>
                <c:pt idx="5">
                  <c:v>2922</c:v>
                </c:pt>
                <c:pt idx="6">
                  <c:v>2205</c:v>
                </c:pt>
                <c:pt idx="7">
                  <c:v>2057</c:v>
                </c:pt>
                <c:pt idx="8">
                  <c:v>1968</c:v>
                </c:pt>
                <c:pt idx="9">
                  <c:v>2357</c:v>
                </c:pt>
                <c:pt idx="10">
                  <c:v>2636</c:v>
                </c:pt>
                <c:pt idx="11">
                  <c:v>3397</c:v>
                </c:pt>
                <c:pt idx="12">
                  <c:v>2268</c:v>
                </c:pt>
              </c:numCache>
            </c:numRef>
          </c:val>
        </c:ser>
        <c:dLbls>
          <c:showVal val="1"/>
        </c:dLbls>
        <c:marker val="1"/>
        <c:axId val="71994752"/>
        <c:axId val="72012928"/>
      </c:lineChart>
      <c:catAx>
        <c:axId val="71991680"/>
        <c:scaling>
          <c:orientation val="minMax"/>
        </c:scaling>
        <c:axPos val="b"/>
        <c:numFmt formatCode="General" sourceLinked="1"/>
        <c:majorTickMark val="cross"/>
        <c:tickLblPos val="nextTo"/>
        <c:spPr>
          <a:ln w="3175">
            <a:solidFill>
              <a:srgbClr val="000000"/>
            </a:solidFill>
            <a:prstDash val="solid"/>
          </a:ln>
        </c:spPr>
        <c:txPr>
          <a:bodyPr rot="-2700000" vert="horz"/>
          <a:lstStyle/>
          <a:p>
            <a:pPr>
              <a:defRPr/>
            </a:pPr>
            <a:endParaRPr lang="ru-RU"/>
          </a:p>
        </c:txPr>
        <c:crossAx val="71993216"/>
        <c:crosses val="autoZero"/>
        <c:lblAlgn val="ctr"/>
        <c:lblOffset val="100"/>
        <c:tickLblSkip val="1"/>
        <c:tickMarkSkip val="1"/>
      </c:catAx>
      <c:valAx>
        <c:axId val="71993216"/>
        <c:scaling>
          <c:orientation val="minMax"/>
        </c:scaling>
        <c:axPos val="l"/>
        <c:majorGridlines>
          <c:spPr>
            <a:ln w="3175">
              <a:solidFill>
                <a:srgbClr val="000000"/>
              </a:solidFill>
              <a:prstDash val="solid"/>
            </a:ln>
          </c:spPr>
        </c:majorGridlines>
        <c:numFmt formatCode="#,##0" sourceLinked="1"/>
        <c:majorTickMark val="cross"/>
        <c:tickLblPos val="nextTo"/>
        <c:spPr>
          <a:ln w="3175">
            <a:solidFill>
              <a:srgbClr val="000000"/>
            </a:solidFill>
            <a:prstDash val="solid"/>
          </a:ln>
        </c:spPr>
        <c:txPr>
          <a:bodyPr rot="0" vert="horz"/>
          <a:lstStyle/>
          <a:p>
            <a:pPr>
              <a:defRPr/>
            </a:pPr>
            <a:endParaRPr lang="ru-RU"/>
          </a:p>
        </c:txPr>
        <c:crossAx val="71991680"/>
        <c:crosses val="autoZero"/>
        <c:crossBetween val="between"/>
      </c:valAx>
      <c:catAx>
        <c:axId val="71994752"/>
        <c:scaling>
          <c:orientation val="minMax"/>
        </c:scaling>
        <c:delete val="1"/>
        <c:axPos val="b"/>
        <c:tickLblPos val="nextTo"/>
        <c:crossAx val="72012928"/>
        <c:crosses val="autoZero"/>
        <c:lblAlgn val="ctr"/>
        <c:lblOffset val="100"/>
      </c:catAx>
      <c:valAx>
        <c:axId val="72012928"/>
        <c:scaling>
          <c:orientation val="minMax"/>
        </c:scaling>
        <c:delete val="1"/>
        <c:axPos val="l"/>
        <c:numFmt formatCode="0" sourceLinked="1"/>
        <c:tickLblPos val="nextTo"/>
        <c:crossAx val="71994752"/>
        <c:crosses val="autoZero"/>
        <c:crossBetween val="between"/>
      </c:valAx>
      <c:spPr>
        <a:gradFill rotWithShape="0">
          <a:gsLst>
            <a:gs pos="0">
              <a:srgbClr val="FFFFFF"/>
            </a:gs>
            <a:gs pos="100000">
              <a:srgbClr val="FFFFFF">
                <a:gamma/>
                <a:shade val="76078"/>
                <a:invGamma/>
              </a:srgbClr>
            </a:gs>
          </a:gsLst>
          <a:lin ang="0" scaled="1"/>
        </a:gradFill>
        <a:ln w="12700">
          <a:solidFill>
            <a:srgbClr val="808080"/>
          </a:solidFill>
          <a:prstDash val="solid"/>
        </a:ln>
      </c:spPr>
    </c:plotArea>
    <c:legend>
      <c:legendPos val="r"/>
      <c:layout>
        <c:manualLayout>
          <c:xMode val="edge"/>
          <c:yMode val="edge"/>
          <c:x val="5.3774298200034674E-2"/>
          <c:y val="0.90893973263935435"/>
          <c:w val="0.93379847982200193"/>
          <c:h val="9.1060267360647748E-2"/>
        </c:manualLayout>
      </c:layout>
      <c:spPr>
        <a:solidFill>
          <a:srgbClr val="FFFFFF"/>
        </a:solidFill>
        <a:ln w="3175">
          <a:solidFill>
            <a:srgbClr val="FFFFFF"/>
          </a:solidFill>
          <a:prstDash val="solid"/>
        </a:ln>
      </c:spPr>
    </c:legend>
    <c:plotVisOnly val="1"/>
    <c:dispBlanksAs val="gap"/>
  </c:chart>
  <c:spPr>
    <a:noFill/>
    <a:ln w="9525">
      <a:noFill/>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a:pPr>
            <a:r>
              <a:rPr lang="ru-RU" sz="1200"/>
              <a:t>Количество действующих соглашений, прошедших уведомительную регистрацию </a:t>
            </a:r>
          </a:p>
        </c:rich>
      </c:tx>
    </c:title>
    <c:view3D>
      <c:rAngAx val="1"/>
    </c:view3D>
    <c:plotArea>
      <c:layout/>
      <c:bar3DChart>
        <c:barDir val="col"/>
        <c:grouping val="standard"/>
        <c:ser>
          <c:idx val="0"/>
          <c:order val="0"/>
          <c:tx>
            <c:v>количество действующих соглашений, прошедших уведомительную регистрацию в Министерстве труда, занятости и социальной защиты Республики Татарстан, ед.</c:v>
          </c:tx>
          <c:dLbls>
            <c:dLbl>
              <c:idx val="0"/>
              <c:layout>
                <c:manualLayout>
                  <c:x val="1.3888888888888984E-2"/>
                  <c:y val="-2.7778142315544072E-2"/>
                </c:manualLayout>
              </c:layout>
              <c:showVal val="1"/>
            </c:dLbl>
            <c:dLbl>
              <c:idx val="1"/>
              <c:layout>
                <c:manualLayout>
                  <c:x val="1.9444444444444445E-2"/>
                  <c:y val="-1.3888888888888984E-2"/>
                </c:manualLayout>
              </c:layout>
              <c:showVal val="1"/>
            </c:dLbl>
            <c:dLbl>
              <c:idx val="2"/>
              <c:layout>
                <c:manualLayout>
                  <c:x val="2.2222222222222282E-2"/>
                  <c:y val="-2.3148148148148147E-2"/>
                </c:manualLayout>
              </c:layout>
              <c:showVal val="1"/>
            </c:dLbl>
            <c:txPr>
              <a:bodyPr/>
              <a:lstStyle/>
              <a:p>
                <a:pPr>
                  <a:defRPr b="1"/>
                </a:pPr>
                <a:endParaRPr lang="ru-RU"/>
              </a:p>
            </c:txPr>
            <c:showVal val="1"/>
          </c:dLbls>
          <c:cat>
            <c:strRef>
              <c:f>Лист1!$A$4:$C$4</c:f>
              <c:strCache>
                <c:ptCount val="3"/>
                <c:pt idx="0">
                  <c:v>2010 год </c:v>
                </c:pt>
                <c:pt idx="1">
                  <c:v>2011 год</c:v>
                </c:pt>
                <c:pt idx="2">
                  <c:v>2012 год</c:v>
                </c:pt>
              </c:strCache>
            </c:strRef>
          </c:cat>
          <c:val>
            <c:numRef>
              <c:f>Лист1!$A$5:$C$5</c:f>
              <c:numCache>
                <c:formatCode>General</c:formatCode>
                <c:ptCount val="3"/>
                <c:pt idx="0">
                  <c:v>81</c:v>
                </c:pt>
                <c:pt idx="1">
                  <c:v>133</c:v>
                </c:pt>
                <c:pt idx="2">
                  <c:v>166</c:v>
                </c:pt>
              </c:numCache>
            </c:numRef>
          </c:val>
        </c:ser>
        <c:gapWidth val="75"/>
        <c:shape val="cylinder"/>
        <c:axId val="73184384"/>
        <c:axId val="73185920"/>
        <c:axId val="86835648"/>
      </c:bar3DChart>
      <c:catAx>
        <c:axId val="73184384"/>
        <c:scaling>
          <c:orientation val="minMax"/>
        </c:scaling>
        <c:axPos val="b"/>
        <c:majorTickMark val="none"/>
        <c:tickLblPos val="nextTo"/>
        <c:txPr>
          <a:bodyPr/>
          <a:lstStyle/>
          <a:p>
            <a:pPr>
              <a:defRPr b="1"/>
            </a:pPr>
            <a:endParaRPr lang="ru-RU"/>
          </a:p>
        </c:txPr>
        <c:crossAx val="73185920"/>
        <c:crosses val="autoZero"/>
        <c:auto val="1"/>
        <c:lblAlgn val="ctr"/>
        <c:lblOffset val="100"/>
      </c:catAx>
      <c:valAx>
        <c:axId val="73185920"/>
        <c:scaling>
          <c:orientation val="minMax"/>
        </c:scaling>
        <c:axPos val="l"/>
        <c:majorGridlines/>
        <c:numFmt formatCode="General" sourceLinked="1"/>
        <c:majorTickMark val="none"/>
        <c:tickLblPos val="nextTo"/>
        <c:spPr>
          <a:ln w="9525">
            <a:noFill/>
          </a:ln>
        </c:spPr>
        <c:crossAx val="73184384"/>
        <c:crosses val="autoZero"/>
        <c:crossBetween val="between"/>
      </c:valAx>
      <c:serAx>
        <c:axId val="86835648"/>
        <c:scaling>
          <c:orientation val="minMax"/>
        </c:scaling>
        <c:delete val="1"/>
        <c:axPos val="b"/>
        <c:tickLblPos val="nextTo"/>
        <c:crossAx val="73185920"/>
        <c:crosses val="autoZero"/>
      </c:serAx>
    </c:plotArea>
    <c:legend>
      <c:legendPos val="b"/>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2"/>
  <c:chart>
    <c:title>
      <c:tx>
        <c:rich>
          <a:bodyPr/>
          <a:lstStyle/>
          <a:p>
            <a:pPr>
              <a:defRPr/>
            </a:pPr>
            <a:r>
              <a:rPr lang="ru-RU" sz="1050" b="1" i="0" baseline="0"/>
              <a:t>Количество  действующих в республике коллективных договоров в организациях, прошедших уведомительную регистрацию </a:t>
            </a:r>
            <a:endParaRPr lang="ru-RU" sz="1050"/>
          </a:p>
        </c:rich>
      </c:tx>
    </c:title>
    <c:view3D>
      <c:rAngAx val="1"/>
    </c:view3D>
    <c:plotArea>
      <c:layout/>
      <c:bar3DChart>
        <c:barDir val="col"/>
        <c:grouping val="clustered"/>
        <c:ser>
          <c:idx val="0"/>
          <c:order val="0"/>
          <c:tx>
            <c:v>всего коллективных договоров, ед.</c:v>
          </c:tx>
          <c:dLbls>
            <c:dLbl>
              <c:idx val="0"/>
              <c:layout>
                <c:manualLayout>
                  <c:x val="5.5555555555555558E-3"/>
                  <c:y val="7.7777777777777779E-2"/>
                </c:manualLayout>
              </c:layout>
              <c:showVal val="1"/>
            </c:dLbl>
            <c:dLbl>
              <c:idx val="1"/>
              <c:layout>
                <c:manualLayout>
                  <c:x val="1.1111111111111125E-2"/>
                  <c:y val="8.1481481481481433E-2"/>
                </c:manualLayout>
              </c:layout>
              <c:showVal val="1"/>
            </c:dLbl>
            <c:dLbl>
              <c:idx val="2"/>
              <c:layout>
                <c:manualLayout>
                  <c:x val="1.1111111111111125E-2"/>
                  <c:y val="8.5185185185185197E-2"/>
                </c:manualLayout>
              </c:layout>
              <c:showVal val="1"/>
            </c:dLbl>
            <c:showVal val="1"/>
          </c:dLbls>
          <c:cat>
            <c:strRef>
              <c:f>Лист2!$B$6:$D$6</c:f>
              <c:strCache>
                <c:ptCount val="3"/>
                <c:pt idx="0">
                  <c:v>2010 год</c:v>
                </c:pt>
                <c:pt idx="1">
                  <c:v>2011 год</c:v>
                </c:pt>
                <c:pt idx="2">
                  <c:v>2012 год</c:v>
                </c:pt>
              </c:strCache>
            </c:strRef>
          </c:cat>
          <c:val>
            <c:numRef>
              <c:f>Лист2!$B$7:$D$7</c:f>
              <c:numCache>
                <c:formatCode>General</c:formatCode>
                <c:ptCount val="3"/>
                <c:pt idx="0" formatCode="0">
                  <c:v>6338</c:v>
                </c:pt>
                <c:pt idx="1">
                  <c:v>6520</c:v>
                </c:pt>
                <c:pt idx="2">
                  <c:v>6617</c:v>
                </c:pt>
              </c:numCache>
            </c:numRef>
          </c:val>
        </c:ser>
        <c:ser>
          <c:idx val="1"/>
          <c:order val="1"/>
          <c:tx>
            <c:v>коллективные договоры, заключенные в организациях, относящихся к государственной и муниципальной формам собственности, ед.</c:v>
          </c:tx>
          <c:dLbls>
            <c:dLbl>
              <c:idx val="0"/>
              <c:layout>
                <c:manualLayout>
                  <c:x val="8.3333333333333367E-3"/>
                  <c:y val="8.8888888888889572E-2"/>
                </c:manualLayout>
              </c:layout>
              <c:showVal val="1"/>
            </c:dLbl>
            <c:dLbl>
              <c:idx val="1"/>
              <c:layout>
                <c:manualLayout>
                  <c:x val="8.3333333333333367E-3"/>
                  <c:y val="8.8888888888889572E-2"/>
                </c:manualLayout>
              </c:layout>
              <c:showVal val="1"/>
            </c:dLbl>
            <c:dLbl>
              <c:idx val="2"/>
              <c:layout>
                <c:manualLayout>
                  <c:x val="1.9444444444444445E-2"/>
                  <c:y val="0.10370370370370419"/>
                </c:manualLayout>
              </c:layout>
              <c:showVal val="1"/>
            </c:dLbl>
            <c:showVal val="1"/>
          </c:dLbls>
          <c:cat>
            <c:strRef>
              <c:f>Лист2!$B$6:$D$6</c:f>
              <c:strCache>
                <c:ptCount val="3"/>
                <c:pt idx="0">
                  <c:v>2010 год</c:v>
                </c:pt>
                <c:pt idx="1">
                  <c:v>2011 год</c:v>
                </c:pt>
                <c:pt idx="2">
                  <c:v>2012 год</c:v>
                </c:pt>
              </c:strCache>
            </c:strRef>
          </c:cat>
          <c:val>
            <c:numRef>
              <c:f>Лист2!$B$8:$D$8</c:f>
              <c:numCache>
                <c:formatCode>General</c:formatCode>
                <c:ptCount val="3"/>
                <c:pt idx="0">
                  <c:v>4308</c:v>
                </c:pt>
                <c:pt idx="1">
                  <c:v>4804</c:v>
                </c:pt>
                <c:pt idx="2">
                  <c:v>4999</c:v>
                </c:pt>
              </c:numCache>
            </c:numRef>
          </c:val>
        </c:ser>
        <c:gapWidth val="75"/>
        <c:gapDepth val="7"/>
        <c:shape val="cylinder"/>
        <c:axId val="86868352"/>
        <c:axId val="86869888"/>
        <c:axId val="0"/>
      </c:bar3DChart>
      <c:catAx>
        <c:axId val="86868352"/>
        <c:scaling>
          <c:orientation val="minMax"/>
        </c:scaling>
        <c:axPos val="b"/>
        <c:majorTickMark val="none"/>
        <c:tickLblPos val="nextTo"/>
        <c:crossAx val="86869888"/>
        <c:crosses val="autoZero"/>
        <c:auto val="1"/>
        <c:lblAlgn val="ctr"/>
        <c:lblOffset val="100"/>
      </c:catAx>
      <c:valAx>
        <c:axId val="86869888"/>
        <c:scaling>
          <c:orientation val="minMax"/>
        </c:scaling>
        <c:axPos val="l"/>
        <c:majorGridlines/>
        <c:numFmt formatCode="0" sourceLinked="1"/>
        <c:majorTickMark val="none"/>
        <c:tickLblPos val="nextTo"/>
        <c:spPr>
          <a:ln w="9525">
            <a:noFill/>
          </a:ln>
        </c:spPr>
        <c:crossAx val="86868352"/>
        <c:crosses val="autoZero"/>
        <c:crossBetween val="between"/>
      </c:valAx>
    </c:plotArea>
    <c:legend>
      <c:legendPos val="b"/>
      <c:layout>
        <c:manualLayout>
          <c:xMode val="edge"/>
          <c:yMode val="edge"/>
          <c:x val="0.10296429225416592"/>
          <c:y val="0.81383213764946061"/>
          <c:w val="0.81261124336202162"/>
          <c:h val="0.16839008457276314"/>
        </c:manualLayout>
      </c:layout>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Коэффициент напряженности на рынке труда </a:t>
            </a:r>
          </a:p>
          <a:p>
            <a:pPr>
              <a:defRPr/>
            </a:pPr>
            <a:r>
              <a:rPr lang="ru-RU" sz="1400"/>
              <a:t>в регионах Приволжского федерального округа</a:t>
            </a:r>
          </a:p>
          <a:p>
            <a:pPr>
              <a:defRPr/>
            </a:pPr>
            <a:r>
              <a:rPr lang="ru-RU" sz="1400"/>
              <a:t>на 1 декабря 2012 года</a:t>
            </a:r>
          </a:p>
          <a:p>
            <a:pPr>
              <a:defRPr/>
            </a:pPr>
            <a:r>
              <a:rPr lang="ru-RU"/>
              <a:t> </a:t>
            </a:r>
          </a:p>
        </c:rich>
      </c:tx>
    </c:title>
    <c:plotArea>
      <c:layout>
        <c:manualLayout>
          <c:layoutTarget val="inner"/>
          <c:xMode val="edge"/>
          <c:yMode val="edge"/>
          <c:x val="0.21285526533852872"/>
          <c:y val="0.19118401131848417"/>
          <c:w val="0.76303321115697564"/>
          <c:h val="0.69972827703842455"/>
        </c:manualLayout>
      </c:layout>
      <c:barChart>
        <c:barDir val="bar"/>
        <c:grouping val="clustered"/>
        <c:ser>
          <c:idx val="0"/>
          <c:order val="0"/>
          <c:dLbls>
            <c:showVal val="1"/>
          </c:dLbls>
          <c:cat>
            <c:strRef>
              <c:f>Лист1!$A$38:$A$54</c:f>
              <c:strCache>
                <c:ptCount val="16"/>
                <c:pt idx="0">
                  <c:v>Нижегородская обл.</c:v>
                </c:pt>
                <c:pt idx="1">
                  <c:v>Чувашия</c:v>
                </c:pt>
                <c:pt idx="2">
                  <c:v>Ульяновская обл.</c:v>
                </c:pt>
                <c:pt idx="3">
                  <c:v>Марий эл</c:v>
                </c:pt>
                <c:pt idx="4">
                  <c:v>Пензенская обл.</c:v>
                </c:pt>
                <c:pt idx="5">
                  <c:v>ПФО</c:v>
                </c:pt>
                <c:pt idx="6">
                  <c:v>Пермский кр.</c:v>
                </c:pt>
                <c:pt idx="7">
                  <c:v>Саратовская обл.</c:v>
                </c:pt>
                <c:pt idx="8">
                  <c:v>Удмуртия</c:v>
                </c:pt>
                <c:pt idx="9">
                  <c:v>Самарская обл.</c:v>
                </c:pt>
                <c:pt idx="10">
                  <c:v>Республика Татарстан</c:v>
                </c:pt>
                <c:pt idx="11">
                  <c:v>Башкирия</c:v>
                </c:pt>
                <c:pt idx="12">
                  <c:v>Мордовия</c:v>
                </c:pt>
                <c:pt idx="13">
                  <c:v>Российская Федерация</c:v>
                </c:pt>
                <c:pt idx="14">
                  <c:v>Кировская область</c:v>
                </c:pt>
                <c:pt idx="15">
                  <c:v>Оренбургская обл.</c:v>
                </c:pt>
              </c:strCache>
            </c:strRef>
          </c:cat>
          <c:val>
            <c:numRef>
              <c:f>Лист1!$B$38:$B$54</c:f>
              <c:numCache>
                <c:formatCode>General</c:formatCode>
                <c:ptCount val="17"/>
                <c:pt idx="0">
                  <c:v>0.30000000000000032</c:v>
                </c:pt>
                <c:pt idx="1">
                  <c:v>0.4</c:v>
                </c:pt>
                <c:pt idx="2">
                  <c:v>0.5</c:v>
                </c:pt>
                <c:pt idx="3">
                  <c:v>0.5</c:v>
                </c:pt>
                <c:pt idx="4">
                  <c:v>0.60000000000000064</c:v>
                </c:pt>
                <c:pt idx="5">
                  <c:v>0.60000000000000064</c:v>
                </c:pt>
                <c:pt idx="6">
                  <c:v>0.60000000000000064</c:v>
                </c:pt>
                <c:pt idx="7">
                  <c:v>0.60000000000000064</c:v>
                </c:pt>
                <c:pt idx="8">
                  <c:v>0.60000000000000064</c:v>
                </c:pt>
                <c:pt idx="9">
                  <c:v>0.60000000000000064</c:v>
                </c:pt>
                <c:pt idx="10">
                  <c:v>0.70000000000000062</c:v>
                </c:pt>
                <c:pt idx="11">
                  <c:v>0.8</c:v>
                </c:pt>
                <c:pt idx="12">
                  <c:v>0.8</c:v>
                </c:pt>
                <c:pt idx="13">
                  <c:v>0.9</c:v>
                </c:pt>
                <c:pt idx="14">
                  <c:v>1</c:v>
                </c:pt>
                <c:pt idx="15">
                  <c:v>1.1000000000000001</c:v>
                </c:pt>
              </c:numCache>
            </c:numRef>
          </c:val>
        </c:ser>
        <c:dLbls>
          <c:showVal val="1"/>
        </c:dLbls>
        <c:gapWidth val="75"/>
        <c:overlap val="-25"/>
        <c:axId val="86891136"/>
        <c:axId val="67719552"/>
      </c:barChart>
      <c:catAx>
        <c:axId val="86891136"/>
        <c:scaling>
          <c:orientation val="minMax"/>
        </c:scaling>
        <c:axPos val="l"/>
        <c:majorTickMark val="none"/>
        <c:tickLblPos val="nextTo"/>
        <c:crossAx val="67719552"/>
        <c:crosses val="autoZero"/>
        <c:auto val="1"/>
        <c:lblAlgn val="ctr"/>
        <c:lblOffset val="100"/>
      </c:catAx>
      <c:valAx>
        <c:axId val="67719552"/>
        <c:scaling>
          <c:orientation val="minMax"/>
        </c:scaling>
        <c:axPos val="b"/>
        <c:majorGridlines/>
        <c:numFmt formatCode="General" sourceLinked="1"/>
        <c:majorTickMark val="none"/>
        <c:tickLblPos val="nextTo"/>
        <c:crossAx val="86891136"/>
        <c:crosses val="autoZero"/>
        <c:crossBetween val="between"/>
      </c:valAx>
      <c:spPr>
        <a:blipFill>
          <a:blip xmlns:r="http://schemas.openxmlformats.org/officeDocument/2006/relationships" r:embed="rId1"/>
          <a:tile tx="0" ty="0" sx="100000" sy="100000" flip="none" algn="tl"/>
        </a:blipFill>
      </c:spPr>
    </c:plotArea>
    <c:plotVisOnly val="1"/>
  </c:chart>
  <c:spPr>
    <a:blipFill>
      <a:blip xmlns:r="http://schemas.openxmlformats.org/officeDocument/2006/relationships" r:embed="rId1"/>
      <a:tile tx="0" ty="0" sx="100000" sy="100000" flip="none" algn="tl"/>
    </a:blipFill>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Arial Cyr"/>
                <a:ea typeface="Arial Cyr"/>
                <a:cs typeface="Arial Cyr"/>
              </a:defRPr>
            </a:pPr>
            <a:r>
              <a:rPr lang="ru-RU"/>
              <a:t>Динамика количества получателей субсидий на оплату ЖКУ в разрезе социально-демографических групп в 2006-2012. (человек)</a:t>
            </a:r>
          </a:p>
        </c:rich>
      </c:tx>
      <c:layout>
        <c:manualLayout>
          <c:xMode val="edge"/>
          <c:yMode val="edge"/>
          <c:x val="0.13805938122641695"/>
          <c:y val="2.9411894291271199E-2"/>
        </c:manualLayout>
      </c:layout>
      <c:spPr>
        <a:noFill/>
        <a:ln w="25400">
          <a:noFill/>
        </a:ln>
      </c:spPr>
    </c:title>
    <c:plotArea>
      <c:layout>
        <c:manualLayout>
          <c:layoutTarget val="inner"/>
          <c:xMode val="edge"/>
          <c:yMode val="edge"/>
          <c:x val="4.4814368606934621E-2"/>
          <c:y val="0.1871559633027523"/>
          <c:w val="0.91677394064471962"/>
          <c:h val="0.68807339449541294"/>
        </c:manualLayout>
      </c:layout>
      <c:barChart>
        <c:barDir val="col"/>
        <c:grouping val="stacked"/>
        <c:ser>
          <c:idx val="0"/>
          <c:order val="0"/>
          <c:tx>
            <c:strRef>
              <c:f>Лист1!$B$64</c:f>
              <c:strCache>
                <c:ptCount val="1"/>
                <c:pt idx="0">
                  <c:v>работающие</c:v>
                </c:pt>
              </c:strCache>
            </c:strRef>
          </c:tx>
          <c:spPr>
            <a:solidFill>
              <a:srgbClr val="FF8585"/>
            </a:solidFill>
            <a:ln w="12700">
              <a:solidFill>
                <a:srgbClr val="000000"/>
              </a:solidFill>
              <a:prstDash val="solid"/>
            </a:ln>
          </c:spPr>
          <c:dLbls>
            <c:spPr>
              <a:noFill/>
              <a:ln w="25400">
                <a:noFill/>
              </a:ln>
            </c:spPr>
            <c:txPr>
              <a:bodyPr/>
              <a:lstStyle/>
              <a:p>
                <a:pPr>
                  <a:defRPr sz="1050" b="1" i="0" u="none" strike="noStrike" baseline="0">
                    <a:solidFill>
                      <a:srgbClr val="000000"/>
                    </a:solidFill>
                    <a:latin typeface="Arial Cyr"/>
                    <a:ea typeface="Arial Cyr"/>
                    <a:cs typeface="Arial Cyr"/>
                  </a:defRPr>
                </a:pPr>
                <a:endParaRPr lang="ru-RU"/>
              </a:p>
            </c:txPr>
            <c:showVal val="1"/>
          </c:dLbls>
          <c:val>
            <c:numRef>
              <c:f>Лист1!$G$64:$Q$64</c:f>
              <c:numCache>
                <c:formatCode>General</c:formatCode>
                <c:ptCount val="7"/>
                <c:pt idx="0">
                  <c:v>172503</c:v>
                </c:pt>
                <c:pt idx="1">
                  <c:v>48481</c:v>
                </c:pt>
                <c:pt idx="2" formatCode="0">
                  <c:v>38066</c:v>
                </c:pt>
                <c:pt idx="3">
                  <c:v>41517</c:v>
                </c:pt>
                <c:pt idx="4">
                  <c:v>37166</c:v>
                </c:pt>
                <c:pt idx="5">
                  <c:v>34983</c:v>
                </c:pt>
                <c:pt idx="6">
                  <c:v>174573</c:v>
                </c:pt>
              </c:numCache>
            </c:numRef>
          </c:val>
        </c:ser>
        <c:ser>
          <c:idx val="1"/>
          <c:order val="1"/>
          <c:tx>
            <c:strRef>
              <c:f>Лист1!$B$65</c:f>
              <c:strCache>
                <c:ptCount val="1"/>
                <c:pt idx="0">
                  <c:v>неработающие</c:v>
                </c:pt>
              </c:strCache>
            </c:strRef>
          </c:tx>
          <c:spPr>
            <a:solidFill>
              <a:srgbClr val="00B0F0"/>
            </a:solidFill>
            <a:ln w="12700">
              <a:solidFill>
                <a:srgbClr val="000000"/>
              </a:solidFill>
              <a:prstDash val="solid"/>
            </a:ln>
          </c:spPr>
          <c:dLbls>
            <c:dLbl>
              <c:idx val="0"/>
              <c:layout>
                <c:manualLayout>
                  <c:x val="-4.5753987730165169E-5"/>
                  <c:y val="-9.6618060665083088E-4"/>
                </c:manualLayout>
              </c:layout>
              <c:dLblPos val="ctr"/>
              <c:showVal val="1"/>
            </c:dLbl>
            <c:dLbl>
              <c:idx val="1"/>
              <c:layout>
                <c:manualLayout>
                  <c:x val="6.2037220903936645E-2"/>
                  <c:y val="-1.7661713244346283E-4"/>
                </c:manualLayout>
              </c:layout>
              <c:dLblPos val="ctr"/>
              <c:showVal val="1"/>
            </c:dLbl>
            <c:dLbl>
              <c:idx val="2"/>
              <c:layout>
                <c:manualLayout>
                  <c:x val="5.7501396462485505E-2"/>
                  <c:y val="-1.6678783648859607E-3"/>
                </c:manualLayout>
              </c:layout>
              <c:dLblPos val="ctr"/>
              <c:showVal val="1"/>
            </c:dLbl>
            <c:dLbl>
              <c:idx val="3"/>
              <c:layout>
                <c:manualLayout>
                  <c:x val="5.7501396462485505E-2"/>
                  <c:y val="2.2948594914744915E-3"/>
                </c:manualLayout>
              </c:layout>
              <c:dLblPos val="ctr"/>
              <c:showVal val="1"/>
            </c:dLbl>
            <c:dLbl>
              <c:idx val="4"/>
              <c:layout>
                <c:manualLayout>
                  <c:x val="5.5004312009482116E-2"/>
                  <c:y val="2.8012524112794568E-3"/>
                </c:manualLayout>
              </c:layout>
              <c:dLblPos val="ctr"/>
              <c:showVal val="1"/>
            </c:dLbl>
            <c:dLbl>
              <c:idx val="5"/>
              <c:layout>
                <c:manualLayout>
                  <c:x val="5.7543832762944475E-2"/>
                  <c:y val="6.0984364473294379E-3"/>
                </c:manualLayout>
              </c:layout>
              <c:dLblPos val="ctr"/>
              <c:showVal val="1"/>
            </c:dLbl>
            <c:dLbl>
              <c:idx val="6"/>
              <c:layout>
                <c:manualLayout>
                  <c:x val="5.2852846349830923E-2"/>
                  <c:y val="0"/>
                </c:manualLayout>
              </c:layout>
              <c:dLblPos val="ctr"/>
              <c:showVal val="1"/>
            </c:dLbl>
            <c:spPr>
              <a:noFill/>
              <a:ln w="25400">
                <a:noFill/>
              </a:ln>
            </c:spPr>
            <c:txPr>
              <a:bodyPr/>
              <a:lstStyle/>
              <a:p>
                <a:pPr>
                  <a:defRPr sz="1050" b="1" i="0" u="none" strike="noStrike" baseline="0">
                    <a:solidFill>
                      <a:sysClr val="windowText" lastClr="000000"/>
                    </a:solidFill>
                    <a:latin typeface="Arial Cyr"/>
                    <a:ea typeface="Arial Cyr"/>
                    <a:cs typeface="Arial Cyr"/>
                  </a:defRPr>
                </a:pPr>
                <a:endParaRPr lang="ru-RU"/>
              </a:p>
            </c:txPr>
            <c:showVal val="1"/>
          </c:dLbls>
          <c:val>
            <c:numRef>
              <c:f>Лист1!$G$65:$Q$65</c:f>
              <c:numCache>
                <c:formatCode>General</c:formatCode>
                <c:ptCount val="7"/>
                <c:pt idx="0">
                  <c:v>39955</c:v>
                </c:pt>
                <c:pt idx="1">
                  <c:v>14604</c:v>
                </c:pt>
                <c:pt idx="2" formatCode="0">
                  <c:v>12568</c:v>
                </c:pt>
                <c:pt idx="3">
                  <c:v>23683</c:v>
                </c:pt>
                <c:pt idx="4">
                  <c:v>22161</c:v>
                </c:pt>
                <c:pt idx="5">
                  <c:v>19805</c:v>
                </c:pt>
                <c:pt idx="6">
                  <c:v>46513</c:v>
                </c:pt>
              </c:numCache>
            </c:numRef>
          </c:val>
        </c:ser>
        <c:ser>
          <c:idx val="2"/>
          <c:order val="2"/>
          <c:tx>
            <c:strRef>
              <c:f>Лист1!$B$66</c:f>
              <c:strCache>
                <c:ptCount val="1"/>
                <c:pt idx="0">
                  <c:v>пенсионеры</c:v>
                </c:pt>
              </c:strCache>
            </c:strRef>
          </c:tx>
          <c:spPr>
            <a:solidFill>
              <a:srgbClr val="00B050"/>
            </a:solidFill>
            <a:ln w="12700">
              <a:solidFill>
                <a:srgbClr val="000000"/>
              </a:solidFill>
              <a:prstDash val="solid"/>
            </a:ln>
          </c:spPr>
          <c:dLbls>
            <c:dLbl>
              <c:idx val="0"/>
              <c:tx>
                <c:rich>
                  <a:bodyPr/>
                  <a:lstStyle/>
                  <a:p>
                    <a:r>
                      <a:rPr lang="ru-RU"/>
                      <a:t>115688</a:t>
                    </a:r>
                  </a:p>
                </c:rich>
              </c:tx>
            </c:dLbl>
            <c:dLbl>
              <c:idx val="2"/>
              <c:tx>
                <c:rich>
                  <a:bodyPr/>
                  <a:lstStyle/>
                  <a:p>
                    <a:r>
                      <a:rPr lang="ru-RU"/>
                      <a:t>100374</a:t>
                    </a:r>
                  </a:p>
                </c:rich>
              </c:tx>
            </c:dLbl>
            <c:dLbl>
              <c:idx val="3"/>
              <c:layout>
                <c:manualLayout>
                  <c:x val="-2.7155465037338772E-3"/>
                  <c:y val="-5.0493805563065555E-3"/>
                </c:manualLayout>
              </c:layout>
              <c:dLblPos val="ctr"/>
              <c:showVal val="1"/>
            </c:dLbl>
            <c:spPr>
              <a:noFill/>
              <a:ln w="25400">
                <a:noFill/>
              </a:ln>
            </c:spPr>
            <c:txPr>
              <a:bodyPr/>
              <a:lstStyle/>
              <a:p>
                <a:pPr>
                  <a:defRPr sz="1050" b="1" i="0" u="none" strike="noStrike" baseline="0">
                    <a:solidFill>
                      <a:srgbClr val="000000"/>
                    </a:solidFill>
                    <a:latin typeface="Arial Cyr"/>
                    <a:ea typeface="Arial Cyr"/>
                    <a:cs typeface="Arial Cyr"/>
                  </a:defRPr>
                </a:pPr>
                <a:endParaRPr lang="ru-RU"/>
              </a:p>
            </c:txPr>
            <c:showVal val="1"/>
          </c:dLbls>
          <c:val>
            <c:numRef>
              <c:f>Лист1!$G$66:$Q$66</c:f>
              <c:numCache>
                <c:formatCode>General</c:formatCode>
                <c:ptCount val="7"/>
                <c:pt idx="0">
                  <c:v>193563</c:v>
                </c:pt>
                <c:pt idx="1">
                  <c:v>103902</c:v>
                </c:pt>
                <c:pt idx="2" formatCode="0">
                  <c:v>100374</c:v>
                </c:pt>
                <c:pt idx="3">
                  <c:v>98737</c:v>
                </c:pt>
                <c:pt idx="4">
                  <c:v>47902</c:v>
                </c:pt>
                <c:pt idx="5">
                  <c:v>43527</c:v>
                </c:pt>
                <c:pt idx="6">
                  <c:v>191693</c:v>
                </c:pt>
              </c:numCache>
            </c:numRef>
          </c:val>
        </c:ser>
        <c:ser>
          <c:idx val="3"/>
          <c:order val="3"/>
          <c:tx>
            <c:strRef>
              <c:f>Лист1!$B$67</c:f>
              <c:strCache>
                <c:ptCount val="1"/>
                <c:pt idx="0">
                  <c:v>семьи, имеющие детей</c:v>
                </c:pt>
              </c:strCache>
            </c:strRef>
          </c:tx>
          <c:spPr>
            <a:solidFill>
              <a:srgbClr val="FFC000"/>
            </a:solidFill>
            <a:ln w="12700">
              <a:solidFill>
                <a:srgbClr val="000000"/>
              </a:solidFill>
              <a:prstDash val="solid"/>
            </a:ln>
          </c:spPr>
          <c:dLbls>
            <c:dLbl>
              <c:idx val="0"/>
              <c:layout>
                <c:manualLayout>
                  <c:x val="5.6833987170522445E-4"/>
                  <c:y val="-0.10137286447044253"/>
                </c:manualLayout>
              </c:layout>
              <c:dLblPos val="ctr"/>
              <c:showVal val="1"/>
            </c:dLbl>
            <c:dLbl>
              <c:idx val="1"/>
              <c:layout>
                <c:manualLayout>
                  <c:x val="-2.0646698005615835E-3"/>
                  <c:y val="-5.5953377561569047E-2"/>
                </c:manualLayout>
              </c:layout>
              <c:dLblPos val="ctr"/>
              <c:showVal val="1"/>
            </c:dLbl>
            <c:dLbl>
              <c:idx val="2"/>
              <c:layout>
                <c:manualLayout>
                  <c:x val="2.2238801711503189E-3"/>
                  <c:y val="-6.039688671724408E-2"/>
                </c:manualLayout>
              </c:layout>
              <c:dLblPos val="ctr"/>
              <c:showVal val="1"/>
            </c:dLbl>
            <c:dLbl>
              <c:idx val="3"/>
              <c:layout>
                <c:manualLayout>
                  <c:x val="-8.156028368793679E-4"/>
                  <c:y val="-6.0516204136145536E-2"/>
                </c:manualLayout>
              </c:layout>
              <c:dLblPos val="ctr"/>
              <c:showVal val="1"/>
            </c:dLbl>
            <c:dLbl>
              <c:idx val="4"/>
              <c:layout>
                <c:manualLayout>
                  <c:x val="-1.1294465851343061E-3"/>
                  <c:y val="-5.7774493979427556E-2"/>
                </c:manualLayout>
              </c:layout>
              <c:dLblPos val="ctr"/>
              <c:showVal val="1"/>
            </c:dLbl>
            <c:dLbl>
              <c:idx val="5"/>
              <c:layout>
                <c:manualLayout>
                  <c:x val="1.7730496453900713E-3"/>
                  <c:y val="-6.7090017322383413E-2"/>
                </c:manualLayout>
              </c:layout>
              <c:dLblPos val="ctr"/>
              <c:showVal val="1"/>
            </c:dLbl>
            <c:dLbl>
              <c:idx val="6"/>
              <c:layout>
                <c:manualLayout>
                  <c:x val="0"/>
                  <c:y val="-9.2500266573608297E-2"/>
                </c:manualLayout>
              </c:layout>
              <c:dLblPos val="ctr"/>
              <c:showVal val="1"/>
            </c:dLbl>
            <c:spPr>
              <a:noFill/>
              <a:ln w="25400">
                <a:noFill/>
              </a:ln>
            </c:spPr>
            <c:txPr>
              <a:bodyPr/>
              <a:lstStyle/>
              <a:p>
                <a:pPr>
                  <a:defRPr sz="1050" b="1" i="0" u="none" strike="noStrike" baseline="0">
                    <a:solidFill>
                      <a:srgbClr val="000000"/>
                    </a:solidFill>
                    <a:latin typeface="Arial Cyr"/>
                    <a:ea typeface="Arial Cyr"/>
                    <a:cs typeface="Arial Cyr"/>
                  </a:defRPr>
                </a:pPr>
                <a:endParaRPr lang="ru-RU"/>
              </a:p>
            </c:txPr>
            <c:showVal val="1"/>
          </c:dLbls>
          <c:val>
            <c:numRef>
              <c:f>Лист1!$G$67:$Q$67</c:f>
              <c:numCache>
                <c:formatCode>General</c:formatCode>
                <c:ptCount val="7"/>
                <c:pt idx="0">
                  <c:v>130716</c:v>
                </c:pt>
                <c:pt idx="1">
                  <c:v>42960</c:v>
                </c:pt>
                <c:pt idx="2" formatCode="0">
                  <c:v>37154</c:v>
                </c:pt>
                <c:pt idx="3">
                  <c:v>37564</c:v>
                </c:pt>
                <c:pt idx="4">
                  <c:v>37764</c:v>
                </c:pt>
                <c:pt idx="5">
                  <c:v>38270</c:v>
                </c:pt>
                <c:pt idx="6">
                  <c:v>97229</c:v>
                </c:pt>
              </c:numCache>
            </c:numRef>
          </c:val>
        </c:ser>
        <c:dLbls>
          <c:showVal val="1"/>
        </c:dLbls>
        <c:overlap val="100"/>
        <c:axId val="88804736"/>
        <c:axId val="88831104"/>
      </c:barChart>
      <c:catAx>
        <c:axId val="88804736"/>
        <c:scaling>
          <c:orientation val="minMax"/>
        </c:scaling>
        <c:delete val="1"/>
        <c:axPos val="b"/>
        <c:tickLblPos val="none"/>
        <c:crossAx val="88831104"/>
        <c:crosses val="autoZero"/>
        <c:auto val="1"/>
        <c:lblAlgn val="ctr"/>
        <c:lblOffset val="100"/>
      </c:catAx>
      <c:valAx>
        <c:axId val="88831104"/>
        <c:scaling>
          <c:orientation val="minMax"/>
        </c:scaling>
        <c:axPos val="l"/>
        <c:majorGridlines>
          <c:spPr>
            <a:ln w="3175">
              <a:solidFill>
                <a:srgbClr val="C0C0C0"/>
              </a:solidFill>
              <a:prstDash val="solid"/>
            </a:ln>
          </c:spPr>
        </c:majorGridlines>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Cyr"/>
                <a:ea typeface="Arial Cyr"/>
                <a:cs typeface="Arial Cyr"/>
              </a:defRPr>
            </a:pPr>
            <a:endParaRPr lang="ru-RU"/>
          </a:p>
        </c:txPr>
        <c:crossAx val="88804736"/>
        <c:crosses val="autoZero"/>
        <c:crossBetween val="between"/>
      </c:valAx>
      <c:spPr>
        <a:noFill/>
        <a:ln w="25400">
          <a:noFill/>
        </a:ln>
      </c:spPr>
    </c:plotArea>
    <c:legend>
      <c:legendPos val="r"/>
      <c:layout>
        <c:manualLayout>
          <c:xMode val="edge"/>
          <c:yMode val="edge"/>
          <c:x val="0.58898884454828371"/>
          <c:y val="0.10091743119266015"/>
          <c:w val="0.22151102197141961"/>
          <c:h val="0.28990825688073396"/>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1423840769903733"/>
          <c:y val="5.1400554097404488E-2"/>
          <c:w val="0.85520603674540685"/>
          <c:h val="0.70415317876932049"/>
        </c:manualLayout>
      </c:layout>
      <c:bar3DChart>
        <c:barDir val="col"/>
        <c:grouping val="clustered"/>
        <c:ser>
          <c:idx val="0"/>
          <c:order val="0"/>
          <c:tx>
            <c:strRef>
              <c:f>Лист1!$A$2</c:f>
              <c:strCache>
                <c:ptCount val="1"/>
                <c:pt idx="0">
                  <c:v>Ветераны ВОВ, получившие субсидию на жилье</c:v>
                </c:pt>
              </c:strCache>
            </c:strRef>
          </c:tx>
          <c:dLbls>
            <c:showVal val="1"/>
          </c:dLbls>
          <c:cat>
            <c:strRef>
              <c:f>Лист1!$B$1:$F$1</c:f>
              <c:strCache>
                <c:ptCount val="5"/>
                <c:pt idx="0">
                  <c:v>2006-2008г.г.</c:v>
                </c:pt>
                <c:pt idx="1">
                  <c:v>2009 г.</c:v>
                </c:pt>
                <c:pt idx="2">
                  <c:v>2010 г.</c:v>
                </c:pt>
                <c:pt idx="3">
                  <c:v>2011 г.</c:v>
                </c:pt>
                <c:pt idx="4">
                  <c:v>2012 г.</c:v>
                </c:pt>
              </c:strCache>
            </c:strRef>
          </c:cat>
          <c:val>
            <c:numRef>
              <c:f>Лист1!$B$2:$F$2</c:f>
              <c:numCache>
                <c:formatCode>0</c:formatCode>
                <c:ptCount val="5"/>
                <c:pt idx="0" formatCode="General">
                  <c:v>186</c:v>
                </c:pt>
                <c:pt idx="1">
                  <c:v>1359</c:v>
                </c:pt>
                <c:pt idx="2">
                  <c:v>12405</c:v>
                </c:pt>
                <c:pt idx="3" formatCode="General">
                  <c:v>2674</c:v>
                </c:pt>
                <c:pt idx="4" formatCode="General">
                  <c:v>1884</c:v>
                </c:pt>
              </c:numCache>
            </c:numRef>
          </c:val>
        </c:ser>
        <c:ser>
          <c:idx val="1"/>
          <c:order val="1"/>
          <c:tx>
            <c:strRef>
              <c:f>Лист1!$A$3</c:f>
              <c:strCache>
                <c:ptCount val="1"/>
                <c:pt idx="0">
                  <c:v>Иные категории ветеранов и инвалидов, получившие субсидии на жилье</c:v>
                </c:pt>
              </c:strCache>
            </c:strRef>
          </c:tx>
          <c:dLbls>
            <c:dLbl>
              <c:idx val="0"/>
              <c:layout>
                <c:manualLayout>
                  <c:x val="2.072538860103627E-2"/>
                  <c:y val="0"/>
                </c:manualLayout>
              </c:layout>
              <c:showVal val="1"/>
            </c:dLbl>
            <c:dLbl>
              <c:idx val="1"/>
              <c:layout>
                <c:manualLayout>
                  <c:x val="2.072538860103627E-2"/>
                  <c:y val="-4.0588540225160886E-3"/>
                </c:manualLayout>
              </c:layout>
              <c:showVal val="1"/>
            </c:dLbl>
            <c:dLbl>
              <c:idx val="2"/>
              <c:layout>
                <c:manualLayout>
                  <c:x val="2.072538860103627E-2"/>
                  <c:y val="-4.0588540225160886E-3"/>
                </c:manualLayout>
              </c:layout>
              <c:showVal val="1"/>
            </c:dLbl>
            <c:dLbl>
              <c:idx val="3"/>
              <c:layout>
                <c:manualLayout>
                  <c:x val="2.0725388601036353E-2"/>
                  <c:y val="7.4411464138546246E-17"/>
                </c:manualLayout>
              </c:layout>
              <c:showVal val="1"/>
            </c:dLbl>
            <c:dLbl>
              <c:idx val="4"/>
              <c:layout>
                <c:manualLayout>
                  <c:x val="1.6119746689694875E-2"/>
                  <c:y val="-8.1177080450321112E-3"/>
                </c:manualLayout>
              </c:layout>
              <c:showVal val="1"/>
            </c:dLbl>
            <c:showVal val="1"/>
          </c:dLbls>
          <c:cat>
            <c:strRef>
              <c:f>Лист1!$B$1:$F$1</c:f>
              <c:strCache>
                <c:ptCount val="5"/>
                <c:pt idx="0">
                  <c:v>2006-2008г.г.</c:v>
                </c:pt>
                <c:pt idx="1">
                  <c:v>2009 г.</c:v>
                </c:pt>
                <c:pt idx="2">
                  <c:v>2010 г.</c:v>
                </c:pt>
                <c:pt idx="3">
                  <c:v>2011 г.</c:v>
                </c:pt>
                <c:pt idx="4">
                  <c:v>2012 г.</c:v>
                </c:pt>
              </c:strCache>
            </c:strRef>
          </c:cat>
          <c:val>
            <c:numRef>
              <c:f>Лист1!$B$3:$F$3</c:f>
              <c:numCache>
                <c:formatCode>General</c:formatCode>
                <c:ptCount val="5"/>
                <c:pt idx="0">
                  <c:v>439</c:v>
                </c:pt>
                <c:pt idx="1">
                  <c:v>72</c:v>
                </c:pt>
                <c:pt idx="2">
                  <c:v>267</c:v>
                </c:pt>
                <c:pt idx="3">
                  <c:v>307</c:v>
                </c:pt>
                <c:pt idx="4">
                  <c:v>325</c:v>
                </c:pt>
              </c:numCache>
            </c:numRef>
          </c:val>
        </c:ser>
        <c:shape val="box"/>
        <c:axId val="88783104"/>
        <c:axId val="88842240"/>
        <c:axId val="0"/>
      </c:bar3DChart>
      <c:catAx>
        <c:axId val="88783104"/>
        <c:scaling>
          <c:orientation val="minMax"/>
        </c:scaling>
        <c:axPos val="b"/>
        <c:tickLblPos val="nextTo"/>
        <c:crossAx val="88842240"/>
        <c:crosses val="autoZero"/>
        <c:auto val="1"/>
        <c:lblAlgn val="ctr"/>
        <c:lblOffset val="100"/>
      </c:catAx>
      <c:valAx>
        <c:axId val="88842240"/>
        <c:scaling>
          <c:orientation val="minMax"/>
        </c:scaling>
        <c:axPos val="l"/>
        <c:majorGridlines/>
        <c:numFmt formatCode="General" sourceLinked="1"/>
        <c:tickLblPos val="nextTo"/>
        <c:crossAx val="88783104"/>
        <c:crosses val="autoZero"/>
        <c:crossBetween val="between"/>
      </c:valAx>
    </c:plotArea>
    <c:legend>
      <c:legendPos val="b"/>
      <c:layout>
        <c:manualLayout>
          <c:xMode val="edge"/>
          <c:yMode val="edge"/>
          <c:x val="3.247287839020125E-2"/>
          <c:y val="0.82986694371536662"/>
          <c:w val="0.95172090988626357"/>
          <c:h val="0.14235527850685331"/>
        </c:manualLayout>
      </c:layout>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технические средства реабилитации</c:v>
                </c:pt>
              </c:strCache>
            </c:strRef>
          </c:tx>
          <c:spPr>
            <a:solidFill>
              <a:srgbClr val="00B0F0"/>
            </a:solidFill>
          </c:spPr>
          <c:dLbls>
            <c:dLbl>
              <c:idx val="0"/>
              <c:layout>
                <c:manualLayout>
                  <c:x val="-2.1606978968256919E-3"/>
                  <c:y val="-3.9353772663050651E-2"/>
                </c:manualLayout>
              </c:layout>
              <c:showVal val="1"/>
            </c:dLbl>
            <c:dLbl>
              <c:idx val="1"/>
              <c:layout>
                <c:manualLayout>
                  <c:x val="8.9209136420437731E-3"/>
                  <c:y val="-2.2487945929770652E-2"/>
                </c:manualLayout>
              </c:layout>
              <c:showVal val="1"/>
            </c:dLbl>
            <c:txPr>
              <a:bodyPr/>
              <a:lstStyle/>
              <a:p>
                <a:pPr>
                  <a:defRPr b="1"/>
                </a:pPr>
                <a:endParaRPr lang="ru-RU"/>
              </a:p>
            </c:txPr>
            <c:showVal val="1"/>
          </c:dLbls>
          <c:cat>
            <c:strRef>
              <c:f>Лист1!$A$2:$A$3</c:f>
              <c:strCache>
                <c:ptCount val="2"/>
                <c:pt idx="0">
                  <c:v>2011 год</c:v>
                </c:pt>
                <c:pt idx="1">
                  <c:v>2012 год</c:v>
                </c:pt>
              </c:strCache>
            </c:strRef>
          </c:cat>
          <c:val>
            <c:numRef>
              <c:f>Лист1!$B$2:$B$3</c:f>
              <c:numCache>
                <c:formatCode>General</c:formatCode>
                <c:ptCount val="2"/>
                <c:pt idx="0">
                  <c:v>18397</c:v>
                </c:pt>
                <c:pt idx="1">
                  <c:v>41945</c:v>
                </c:pt>
              </c:numCache>
            </c:numRef>
          </c:val>
        </c:ser>
        <c:ser>
          <c:idx val="1"/>
          <c:order val="1"/>
          <c:tx>
            <c:strRef>
              <c:f>Лист1!$C$1</c:f>
              <c:strCache>
                <c:ptCount val="1"/>
                <c:pt idx="0">
                  <c:v>протезно-ортопедические изделия</c:v>
                </c:pt>
              </c:strCache>
            </c:strRef>
          </c:tx>
          <c:spPr>
            <a:solidFill>
              <a:srgbClr val="FFC000"/>
            </a:solidFill>
          </c:spPr>
          <c:dLbls>
            <c:dLbl>
              <c:idx val="0"/>
              <c:layout>
                <c:manualLayout>
                  <c:x val="2.0072055694598488E-2"/>
                  <c:y val="-2.5298939170991613E-2"/>
                </c:manualLayout>
              </c:layout>
              <c:showVal val="1"/>
            </c:dLbl>
            <c:dLbl>
              <c:idx val="1"/>
              <c:layout>
                <c:manualLayout>
                  <c:x val="2.8992969336642131E-2"/>
                  <c:y val="-1.9676952688549007E-2"/>
                </c:manualLayout>
              </c:layout>
              <c:showVal val="1"/>
            </c:dLbl>
            <c:txPr>
              <a:bodyPr/>
              <a:lstStyle/>
              <a:p>
                <a:pPr>
                  <a:defRPr b="1"/>
                </a:pPr>
                <a:endParaRPr lang="ru-RU"/>
              </a:p>
            </c:txPr>
            <c:showVal val="1"/>
          </c:dLbls>
          <c:cat>
            <c:strRef>
              <c:f>Лист1!$A$2:$A$3</c:f>
              <c:strCache>
                <c:ptCount val="2"/>
                <c:pt idx="0">
                  <c:v>2011 год</c:v>
                </c:pt>
                <c:pt idx="1">
                  <c:v>2012 год</c:v>
                </c:pt>
              </c:strCache>
            </c:strRef>
          </c:cat>
          <c:val>
            <c:numRef>
              <c:f>Лист1!$C$2:$C$3</c:f>
              <c:numCache>
                <c:formatCode>General</c:formatCode>
                <c:ptCount val="2"/>
                <c:pt idx="0">
                  <c:v>25423</c:v>
                </c:pt>
                <c:pt idx="1">
                  <c:v>14968</c:v>
                </c:pt>
              </c:numCache>
            </c:numRef>
          </c:val>
        </c:ser>
        <c:shape val="cylinder"/>
        <c:axId val="88898560"/>
        <c:axId val="88916736"/>
        <c:axId val="0"/>
      </c:bar3DChart>
      <c:catAx>
        <c:axId val="88898560"/>
        <c:scaling>
          <c:orientation val="minMax"/>
        </c:scaling>
        <c:axPos val="b"/>
        <c:numFmt formatCode="General" sourceLinked="1"/>
        <c:tickLblPos val="nextTo"/>
        <c:txPr>
          <a:bodyPr/>
          <a:lstStyle/>
          <a:p>
            <a:pPr>
              <a:defRPr sz="1198">
                <a:latin typeface="Times New Roman" pitchFamily="18" charset="0"/>
                <a:cs typeface="Times New Roman" pitchFamily="18" charset="0"/>
              </a:defRPr>
            </a:pPr>
            <a:endParaRPr lang="ru-RU"/>
          </a:p>
        </c:txPr>
        <c:crossAx val="88916736"/>
        <c:crosses val="autoZero"/>
        <c:auto val="1"/>
        <c:lblAlgn val="ctr"/>
        <c:lblOffset val="100"/>
      </c:catAx>
      <c:valAx>
        <c:axId val="88916736"/>
        <c:scaling>
          <c:orientation val="minMax"/>
        </c:scaling>
        <c:axPos val="l"/>
        <c:majorGridlines/>
        <c:numFmt formatCode="General" sourceLinked="1"/>
        <c:tickLblPos val="nextTo"/>
        <c:crossAx val="88898560"/>
        <c:crosses val="autoZero"/>
        <c:crossBetween val="between"/>
      </c:valAx>
      <c:spPr>
        <a:noFill/>
        <a:ln w="25418">
          <a:noFill/>
        </a:ln>
      </c:spPr>
    </c:plotArea>
    <c:legend>
      <c:legendPos val="r"/>
      <c:legendEntry>
        <c:idx val="0"/>
        <c:txPr>
          <a:bodyPr/>
          <a:lstStyle/>
          <a:p>
            <a:pPr>
              <a:defRPr sz="1098">
                <a:latin typeface="Times New Roman" pitchFamily="18" charset="0"/>
                <a:cs typeface="Times New Roman" pitchFamily="18" charset="0"/>
              </a:defRPr>
            </a:pPr>
            <a:endParaRPr lang="ru-RU"/>
          </a:p>
        </c:txPr>
      </c:legendEntry>
      <c:legendEntry>
        <c:idx val="1"/>
        <c:txPr>
          <a:bodyPr/>
          <a:lstStyle/>
          <a:p>
            <a:pPr>
              <a:defRPr sz="1098">
                <a:latin typeface="Times New Roman" pitchFamily="18" charset="0"/>
                <a:cs typeface="Times New Roman" pitchFamily="18" charset="0"/>
              </a:defRPr>
            </a:pPr>
            <a:endParaRPr lang="ru-RU"/>
          </a:p>
        </c:txPr>
      </c:legendEntry>
      <c:layout>
        <c:manualLayout>
          <c:xMode val="edge"/>
          <c:yMode val="edge"/>
          <c:x val="0.71232876712328763"/>
          <c:y val="0.23664122137404583"/>
          <c:w val="0.28493150684931512"/>
          <c:h val="0.45419847328244389"/>
        </c:manualLayout>
      </c:layout>
      <c:txPr>
        <a:bodyPr/>
        <a:lstStyle/>
        <a:p>
          <a:pPr>
            <a:defRPr sz="1198">
              <a:latin typeface="Times New Roman" pitchFamily="18" charset="0"/>
              <a:cs typeface="Times New Roman" pitchFamily="18" charset="0"/>
            </a:defRPr>
          </a:pPr>
          <a:endParaRPr lang="ru-RU"/>
        </a:p>
      </c:txPr>
    </c:legend>
    <c:plotVisOnly val="1"/>
    <c:dispBlanksAs val="gap"/>
  </c:chart>
  <c:externalData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4.png"/></Relationships>
</file>

<file path=word/drawings/drawing1.xml><?xml version="1.0" encoding="utf-8"?>
<c:userShapes xmlns:c="http://schemas.openxmlformats.org/drawingml/2006/chart">
  <cdr:relSizeAnchor xmlns:cdr="http://schemas.openxmlformats.org/drawingml/2006/chartDrawing">
    <cdr:from>
      <cdr:x>0.06467</cdr:x>
      <cdr:y>0.86625</cdr:y>
    </cdr:from>
    <cdr:to>
      <cdr:x>0.18557</cdr:x>
      <cdr:y>0.9606</cdr:y>
    </cdr:to>
    <cdr:sp macro="" textlink="">
      <cdr:nvSpPr>
        <cdr:cNvPr id="71681" name="Text Box 1"/>
        <cdr:cNvSpPr txBox="1">
          <a:spLocks xmlns:a="http://schemas.openxmlformats.org/drawingml/2006/main" noChangeArrowheads="1"/>
        </cdr:cNvSpPr>
      </cdr:nvSpPr>
      <cdr:spPr bwMode="auto">
        <a:xfrm xmlns:a="http://schemas.openxmlformats.org/drawingml/2006/main">
          <a:off x="509177" y="3627940"/>
          <a:ext cx="858891" cy="38476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1">
            <a:defRPr sz="1000"/>
          </a:pPr>
          <a:r>
            <a:rPr lang="ru-RU" sz="800" b="0" i="0" strike="noStrike">
              <a:solidFill>
                <a:srgbClr val="000000"/>
              </a:solidFill>
              <a:latin typeface="Arial"/>
              <a:cs typeface="Arial"/>
            </a:rPr>
            <a:t>январь 2006г.</a:t>
          </a:r>
        </a:p>
      </cdr:txBody>
    </cdr:sp>
  </cdr:relSizeAnchor>
  <cdr:relSizeAnchor xmlns:cdr="http://schemas.openxmlformats.org/drawingml/2006/chartDrawing">
    <cdr:from>
      <cdr:x>0.34815</cdr:x>
      <cdr:y>0.83855</cdr:y>
    </cdr:from>
    <cdr:to>
      <cdr:x>0.45542</cdr:x>
      <cdr:y>0.95687</cdr:y>
    </cdr:to>
    <cdr:sp macro="" textlink="">
      <cdr:nvSpPr>
        <cdr:cNvPr id="71682" name="Text Box 3"/>
        <cdr:cNvSpPr txBox="1">
          <a:spLocks xmlns:a="http://schemas.openxmlformats.org/drawingml/2006/main" noChangeArrowheads="1"/>
        </cdr:cNvSpPr>
      </cdr:nvSpPr>
      <cdr:spPr bwMode="auto">
        <a:xfrm xmlns:a="http://schemas.openxmlformats.org/drawingml/2006/main">
          <a:off x="2092863" y="2770992"/>
          <a:ext cx="632408" cy="3755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1">
            <a:defRPr sz="1000"/>
          </a:pPr>
          <a:endParaRPr lang="ru-RU" sz="800" b="0" i="0" strike="noStrike">
            <a:solidFill>
              <a:srgbClr val="000000"/>
            </a:solidFill>
            <a:latin typeface="Arial"/>
            <a:cs typeface="Arial"/>
          </a:endParaRPr>
        </a:p>
      </cdr:txBody>
    </cdr:sp>
  </cdr:relSizeAnchor>
  <cdr:relSizeAnchor xmlns:cdr="http://schemas.openxmlformats.org/drawingml/2006/chartDrawing">
    <cdr:from>
      <cdr:x>0.58311</cdr:x>
      <cdr:y>0.84494</cdr:y>
    </cdr:from>
    <cdr:to>
      <cdr:x>0.68021</cdr:x>
      <cdr:y>0.96403</cdr:y>
    </cdr:to>
    <cdr:sp macro="" textlink="">
      <cdr:nvSpPr>
        <cdr:cNvPr id="71684" name="Text Box 3"/>
        <cdr:cNvSpPr txBox="1">
          <a:spLocks xmlns:a="http://schemas.openxmlformats.org/drawingml/2006/main" noChangeArrowheads="1"/>
        </cdr:cNvSpPr>
      </cdr:nvSpPr>
      <cdr:spPr bwMode="auto">
        <a:xfrm xmlns:a="http://schemas.openxmlformats.org/drawingml/2006/main">
          <a:off x="2913086" y="2281217"/>
          <a:ext cx="490538" cy="318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1">
            <a:defRPr sz="1000"/>
          </a:pPr>
          <a:endParaRPr lang="ru-RU" sz="800" b="0" i="0" strike="noStrike">
            <a:solidFill>
              <a:srgbClr val="000000"/>
            </a:solidFill>
            <a:latin typeface="Arial"/>
            <a:cs typeface="Arial"/>
          </a:endParaRPr>
        </a:p>
      </cdr:txBody>
    </cdr:sp>
  </cdr:relSizeAnchor>
  <cdr:relSizeAnchor xmlns:cdr="http://schemas.openxmlformats.org/drawingml/2006/chartDrawing">
    <cdr:from>
      <cdr:x>0.80555</cdr:x>
      <cdr:y>0.84494</cdr:y>
    </cdr:from>
    <cdr:to>
      <cdr:x>0.90953</cdr:x>
      <cdr:y>0.95077</cdr:y>
    </cdr:to>
    <cdr:sp macro="" textlink="">
      <cdr:nvSpPr>
        <cdr:cNvPr id="71685" name="Text Box 3"/>
        <cdr:cNvSpPr txBox="1">
          <a:spLocks xmlns:a="http://schemas.openxmlformats.org/drawingml/2006/main" noChangeArrowheads="1"/>
        </cdr:cNvSpPr>
      </cdr:nvSpPr>
      <cdr:spPr bwMode="auto">
        <a:xfrm xmlns:a="http://schemas.openxmlformats.org/drawingml/2006/main">
          <a:off x="4031512" y="2281217"/>
          <a:ext cx="526101" cy="2856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1">
            <a:defRPr sz="1000"/>
          </a:pPr>
          <a:endParaRPr lang="ru-RU" sz="800" b="0" i="0" strike="noStrike">
            <a:solidFill>
              <a:srgbClr val="000000"/>
            </a:solidFill>
            <a:latin typeface="Arial"/>
            <a:cs typeface="Arial"/>
          </a:endParaRPr>
        </a:p>
      </cdr:txBody>
    </cdr:sp>
  </cdr:relSizeAnchor>
  <cdr:relSizeAnchor xmlns:cdr="http://schemas.openxmlformats.org/drawingml/2006/chartDrawing">
    <cdr:from>
      <cdr:x>0.34815</cdr:x>
      <cdr:y>0.83855</cdr:y>
    </cdr:from>
    <cdr:to>
      <cdr:x>0.45542</cdr:x>
      <cdr:y>0.95687</cdr:y>
    </cdr:to>
    <cdr:sp macro="" textlink="">
      <cdr:nvSpPr>
        <cdr:cNvPr id="3" name="Text Box 3"/>
        <cdr:cNvSpPr txBox="1">
          <a:spLocks xmlns:a="http://schemas.openxmlformats.org/drawingml/2006/main" noChangeArrowheads="1"/>
        </cdr:cNvSpPr>
      </cdr:nvSpPr>
      <cdr:spPr bwMode="auto">
        <a:xfrm xmlns:a="http://schemas.openxmlformats.org/drawingml/2006/main">
          <a:off x="2092863" y="2770992"/>
          <a:ext cx="632408" cy="3755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1">
            <a:defRPr sz="1000"/>
          </a:pPr>
          <a:endParaRPr lang="ru-RU" sz="800" b="0" i="0" strike="noStrike">
            <a:solidFill>
              <a:srgbClr val="000000"/>
            </a:solidFill>
            <a:latin typeface="Arial"/>
            <a:cs typeface="Arial"/>
          </a:endParaRPr>
        </a:p>
      </cdr:txBody>
    </cdr:sp>
  </cdr:relSizeAnchor>
  <cdr:relSizeAnchor xmlns:cdr="http://schemas.openxmlformats.org/drawingml/2006/chartDrawing">
    <cdr:from>
      <cdr:x>0.58385</cdr:x>
      <cdr:y>0.86716</cdr:y>
    </cdr:from>
    <cdr:to>
      <cdr:x>0.68219</cdr:x>
      <cdr:y>0.98748</cdr:y>
    </cdr:to>
    <cdr:sp macro="" textlink="">
      <cdr:nvSpPr>
        <cdr:cNvPr id="4" name="Text Box 3"/>
        <cdr:cNvSpPr txBox="1">
          <a:spLocks xmlns:a="http://schemas.openxmlformats.org/drawingml/2006/main" noChangeArrowheads="1"/>
        </cdr:cNvSpPr>
      </cdr:nvSpPr>
      <cdr:spPr bwMode="auto">
        <a:xfrm xmlns:a="http://schemas.openxmlformats.org/drawingml/2006/main">
          <a:off x="3522747" y="3632149"/>
          <a:ext cx="584413" cy="4898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1">
            <a:defRPr sz="1000"/>
          </a:pPr>
          <a:endParaRPr lang="ru-RU" sz="800" b="0" i="0" strike="noStrike">
            <a:solidFill>
              <a:srgbClr val="000000"/>
            </a:solidFill>
            <a:latin typeface="Arial"/>
            <a:cs typeface="Arial"/>
          </a:endParaRPr>
        </a:p>
      </cdr:txBody>
    </cdr:sp>
  </cdr:relSizeAnchor>
  <cdr:relSizeAnchor xmlns:cdr="http://schemas.openxmlformats.org/drawingml/2006/chartDrawing">
    <cdr:from>
      <cdr:x>0.8598</cdr:x>
      <cdr:y>0.88316</cdr:y>
    </cdr:from>
    <cdr:to>
      <cdr:x>0.96182</cdr:x>
      <cdr:y>0.99289</cdr:y>
    </cdr:to>
    <cdr:sp macro="" textlink="">
      <cdr:nvSpPr>
        <cdr:cNvPr id="5" name="Text Box 3"/>
        <cdr:cNvSpPr txBox="1">
          <a:spLocks xmlns:a="http://schemas.openxmlformats.org/drawingml/2006/main" noChangeArrowheads="1"/>
        </cdr:cNvSpPr>
      </cdr:nvSpPr>
      <cdr:spPr bwMode="auto">
        <a:xfrm xmlns:a="http://schemas.openxmlformats.org/drawingml/2006/main">
          <a:off x="5171927" y="3699786"/>
          <a:ext cx="603503" cy="44378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1">
            <a:defRPr sz="1000"/>
          </a:pPr>
          <a:r>
            <a:rPr lang="ru-RU" sz="800" b="0" i="0" strike="noStrike">
              <a:solidFill>
                <a:srgbClr val="000000"/>
              </a:solidFill>
              <a:latin typeface="Arial"/>
              <a:cs typeface="Arial"/>
            </a:rPr>
            <a:t>декабрь</a:t>
          </a:r>
          <a:r>
            <a:rPr lang="ru-RU" sz="800" b="0" i="0" strike="noStrike" baseline="0">
              <a:solidFill>
                <a:srgbClr val="000000"/>
              </a:solidFill>
              <a:latin typeface="Arial"/>
              <a:cs typeface="Arial"/>
            </a:rPr>
            <a:t> 2012</a:t>
          </a:r>
          <a:endParaRPr lang="ru-RU" sz="800" b="0" i="0" strike="noStrike">
            <a:solidFill>
              <a:srgbClr val="000000"/>
            </a:solidFill>
            <a:latin typeface="Arial"/>
            <a:cs typeface="Arial"/>
          </a:endParaRPr>
        </a:p>
      </cdr:txBody>
    </cdr:sp>
  </cdr:relSizeAnchor>
  <cdr:relSizeAnchor xmlns:cdr="http://schemas.openxmlformats.org/drawingml/2006/chartDrawing">
    <cdr:from>
      <cdr:x>0</cdr:x>
      <cdr:y>0</cdr:y>
    </cdr:from>
    <cdr:to>
      <cdr:x>0</cdr:x>
      <cdr:y>0</cdr:y>
    </cdr:to>
    <cdr:sp macro="" textlink="">
      <cdr:nvSpPr>
        <cdr:cNvPr id="11" name="Text Box 1"/>
        <cdr:cNvSpPr txBox="1">
          <a:spLocks xmlns:a="http://schemas.openxmlformats.org/drawingml/2006/main" noChangeArrowheads="1"/>
        </cdr:cNvSpPr>
      </cdr:nvSpPr>
      <cdr:spPr bwMode="auto">
        <a:xfrm xmlns:a="http://schemas.openxmlformats.org/drawingml/2006/main">
          <a:off x="0" y="0"/>
          <a:ext cx="858245" cy="4963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endParaRPr lang="ru-RU" sz="800" b="0" i="0" strike="noStrike">
            <a:solidFill>
              <a:srgbClr val="000000"/>
            </a:solidFill>
            <a:latin typeface="Arial"/>
            <a:cs typeface="Arial"/>
          </a:endParaRPr>
        </a:p>
      </cdr:txBody>
    </cdr:sp>
  </cdr:relSizeAnchor>
  <cdr:relSizeAnchor xmlns:cdr="http://schemas.openxmlformats.org/drawingml/2006/chartDrawing">
    <cdr:from>
      <cdr:x>0.20434</cdr:x>
      <cdr:y>0.87134</cdr:y>
    </cdr:from>
    <cdr:to>
      <cdr:x>0.32599</cdr:x>
      <cdr:y>0.96521</cdr:y>
    </cdr:to>
    <cdr:sp macro="" textlink="">
      <cdr:nvSpPr>
        <cdr:cNvPr id="2" name="Text Box 1"/>
        <cdr:cNvSpPr txBox="1">
          <a:spLocks xmlns:a="http://schemas.openxmlformats.org/drawingml/2006/main" noChangeArrowheads="1"/>
        </cdr:cNvSpPr>
      </cdr:nvSpPr>
      <cdr:spPr bwMode="auto">
        <a:xfrm xmlns:a="http://schemas.openxmlformats.org/drawingml/2006/main">
          <a:off x="1210107" y="3604759"/>
          <a:ext cx="686274" cy="37609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1">
            <a:defRPr sz="1000"/>
          </a:pPr>
          <a:r>
            <a:rPr lang="ru-RU" sz="800" b="0" i="0" strike="noStrike">
              <a:solidFill>
                <a:srgbClr val="000000"/>
              </a:solidFill>
              <a:latin typeface="Arial"/>
              <a:cs typeface="Arial"/>
            </a:rPr>
            <a:t>декабрь 2007г.</a:t>
          </a:r>
        </a:p>
      </cdr:txBody>
    </cdr:sp>
  </cdr:relSizeAnchor>
  <cdr:relSizeAnchor xmlns:cdr="http://schemas.openxmlformats.org/drawingml/2006/chartDrawing">
    <cdr:from>
      <cdr:x>0.72906</cdr:x>
      <cdr:y>0.87542</cdr:y>
    </cdr:from>
    <cdr:to>
      <cdr:x>0.84628</cdr:x>
      <cdr:y>0.96905</cdr:y>
    </cdr:to>
    <cdr:sp macro="" textlink="">
      <cdr:nvSpPr>
        <cdr:cNvPr id="6" name="Text Box 1"/>
        <cdr:cNvSpPr txBox="1">
          <a:spLocks xmlns:a="http://schemas.openxmlformats.org/drawingml/2006/main" noChangeArrowheads="1"/>
        </cdr:cNvSpPr>
      </cdr:nvSpPr>
      <cdr:spPr bwMode="auto">
        <a:xfrm xmlns:a="http://schemas.openxmlformats.org/drawingml/2006/main">
          <a:off x="4193697" y="3623572"/>
          <a:ext cx="667948" cy="37509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1">
            <a:defRPr sz="1000"/>
          </a:pPr>
          <a:r>
            <a:rPr lang="ru-RU" sz="800" b="0" i="0" strike="noStrike">
              <a:solidFill>
                <a:srgbClr val="000000"/>
              </a:solidFill>
              <a:latin typeface="Arial"/>
              <a:cs typeface="Arial"/>
            </a:rPr>
            <a:t>декабрь 2011г.</a:t>
          </a:r>
        </a:p>
      </cdr:txBody>
    </cdr:sp>
  </cdr:relSizeAnchor>
  <cdr:relSizeAnchor xmlns:cdr="http://schemas.openxmlformats.org/drawingml/2006/chartDrawing">
    <cdr:from>
      <cdr:x>0.46003</cdr:x>
      <cdr:y>0.87589</cdr:y>
    </cdr:from>
    <cdr:to>
      <cdr:x>0.57847</cdr:x>
      <cdr:y>0.96902</cdr:y>
    </cdr:to>
    <cdr:sp macro="" textlink="">
      <cdr:nvSpPr>
        <cdr:cNvPr id="7" name="Text Box 1"/>
        <cdr:cNvSpPr txBox="1">
          <a:spLocks xmlns:a="http://schemas.openxmlformats.org/drawingml/2006/main" noChangeArrowheads="1"/>
        </cdr:cNvSpPr>
      </cdr:nvSpPr>
      <cdr:spPr bwMode="auto">
        <a:xfrm xmlns:a="http://schemas.openxmlformats.org/drawingml/2006/main">
          <a:off x="2659424" y="3622449"/>
          <a:ext cx="680597" cy="37609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1">
            <a:defRPr sz="1000"/>
          </a:pPr>
          <a:r>
            <a:rPr lang="ru-RU" sz="800" b="0" i="0" strike="noStrike">
              <a:solidFill>
                <a:srgbClr val="000000"/>
              </a:solidFill>
              <a:latin typeface="Arial"/>
              <a:cs typeface="Arial"/>
            </a:rPr>
            <a:t>декабрь 2009г.</a:t>
          </a:r>
        </a:p>
      </cdr:txBody>
    </cdr:sp>
  </cdr:relSizeAnchor>
  <cdr:relSizeAnchor xmlns:cdr="http://schemas.openxmlformats.org/drawingml/2006/chartDrawing">
    <cdr:from>
      <cdr:x>0.32944</cdr:x>
      <cdr:y>0.86643</cdr:y>
    </cdr:from>
    <cdr:to>
      <cdr:x>0.45009</cdr:x>
      <cdr:y>0.96006</cdr:y>
    </cdr:to>
    <cdr:sp macro="" textlink="">
      <cdr:nvSpPr>
        <cdr:cNvPr id="8" name="Text Box 1"/>
        <cdr:cNvSpPr txBox="1">
          <a:spLocks xmlns:a="http://schemas.openxmlformats.org/drawingml/2006/main" noChangeArrowheads="1"/>
        </cdr:cNvSpPr>
      </cdr:nvSpPr>
      <cdr:spPr bwMode="auto">
        <a:xfrm xmlns:a="http://schemas.openxmlformats.org/drawingml/2006/main">
          <a:off x="1916141" y="3586591"/>
          <a:ext cx="687708" cy="37609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1">
            <a:defRPr sz="1000"/>
          </a:pPr>
          <a:r>
            <a:rPr lang="ru-RU" sz="800" b="0" i="0" strike="noStrike">
              <a:solidFill>
                <a:srgbClr val="000000"/>
              </a:solidFill>
              <a:latin typeface="Arial"/>
              <a:cs typeface="Arial"/>
            </a:rPr>
            <a:t>декабрь 2008г.</a:t>
          </a:r>
        </a:p>
      </cdr:txBody>
    </cdr:sp>
  </cdr:relSizeAnchor>
  <cdr:relSizeAnchor xmlns:cdr="http://schemas.openxmlformats.org/drawingml/2006/chartDrawing">
    <cdr:from>
      <cdr:x>0</cdr:x>
      <cdr:y>0</cdr:y>
    </cdr:from>
    <cdr:to>
      <cdr:x>0</cdr:x>
      <cdr:y>0</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cdr:x>
      <cdr:y>0</cdr:y>
    </cdr:to>
    <cdr:pic>
      <cdr:nvPicPr>
        <cdr:cNvPr id="1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0.59159</cdr:x>
      <cdr:y>0.86634</cdr:y>
    </cdr:from>
    <cdr:to>
      <cdr:x>0.71126</cdr:x>
      <cdr:y>0.97121</cdr:y>
    </cdr:to>
    <cdr:sp macro="" textlink="">
      <cdr:nvSpPr>
        <cdr:cNvPr id="17" name="Text Box 1"/>
        <cdr:cNvSpPr txBox="1">
          <a:spLocks xmlns:a="http://schemas.openxmlformats.org/drawingml/2006/main" noChangeArrowheads="1"/>
        </cdr:cNvSpPr>
      </cdr:nvSpPr>
      <cdr:spPr bwMode="auto">
        <a:xfrm xmlns:a="http://schemas.openxmlformats.org/drawingml/2006/main">
          <a:off x="3409590" y="3586224"/>
          <a:ext cx="682030" cy="4193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800" b="0" i="0" strike="noStrike">
              <a:solidFill>
                <a:srgbClr val="000000"/>
              </a:solidFill>
              <a:latin typeface="Arial"/>
              <a:cs typeface="Arial"/>
            </a:rPr>
            <a:t>декабрь 2010г.</a:t>
          </a:r>
        </a:p>
      </cdr:txBody>
    </cdr:sp>
  </cdr:relSizeAnchor>
  <cdr:relSizeAnchor xmlns:cdr="http://schemas.openxmlformats.org/drawingml/2006/chartDrawing">
    <cdr:from>
      <cdr:x>0</cdr:x>
      <cdr:y>0</cdr:y>
    </cdr:from>
    <cdr:to>
      <cdr:x>0</cdr:x>
      <cdr:y>0</cdr:y>
    </cdr:to>
    <cdr:pic>
      <cdr:nvPicPr>
        <cdr:cNvPr id="21"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TotalTime>
  <Pages>25</Pages>
  <Words>5770</Words>
  <Characters>41663</Characters>
  <Application>Microsoft Office Word</Application>
  <DocSecurity>0</DocSecurity>
  <Lines>347</Lines>
  <Paragraphs>94</Paragraphs>
  <ScaleCrop>false</ScaleCrop>
  <HeadingPairs>
    <vt:vector size="2" baseType="variant">
      <vt:variant>
        <vt:lpstr>Название</vt:lpstr>
      </vt:variant>
      <vt:variant>
        <vt:i4>1</vt:i4>
      </vt:variant>
    </vt:vector>
  </HeadingPairs>
  <TitlesOfParts>
    <vt:vector size="1" baseType="lpstr">
      <vt:lpstr>МИНИСТЕРСТВО ТРУДА, ЗАНЯТОСТИ И СОЦИАЛЬНОЙ ЗАЩИТЫ РЕСПУБЛИКИ ТАТАРСТАН</vt:lpstr>
    </vt:vector>
  </TitlesOfParts>
  <Company>Mintrudrt</Company>
  <LinksUpToDate>false</LinksUpToDate>
  <CharactersWithSpaces>47339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ТРУДА, ЗАНЯТОСТИ И СОЦИАЛЬНОЙ ЗАЩИТЫ РЕСПУБЛИКИ ТАТАРСТАН</dc:title>
  <dc:creator>borzenkova.kseniya</dc:creator>
  <cp:lastModifiedBy>borzenkova.kseniya</cp:lastModifiedBy>
  <cp:revision>6</cp:revision>
  <cp:lastPrinted>2012-12-18T06:07:00Z</cp:lastPrinted>
  <dcterms:created xsi:type="dcterms:W3CDTF">2013-01-29T09:19:00Z</dcterms:created>
  <dcterms:modified xsi:type="dcterms:W3CDTF">2013-01-31T05:56:00Z</dcterms:modified>
</cp:coreProperties>
</file>